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snapToGrid w:val="0"/>
          <w:kern w:val="0"/>
          <w:szCs w:val="32"/>
        </w:rPr>
      </w:pPr>
      <w:bookmarkStart w:id="0" w:name="标准卡"/>
      <w:r>
        <w:rPr>
          <w:rFonts w:hint="eastAsia" w:eastAsia="黑体"/>
          <w:snapToGrid w:val="0"/>
          <w:kern w:val="0"/>
          <w:szCs w:val="32"/>
        </w:rPr>
        <w:t>附件</w:t>
      </w:r>
      <w:r>
        <w:rPr>
          <w:rFonts w:hint="eastAsia"/>
          <w:snapToGrid w:val="0"/>
          <w:kern w:val="0"/>
          <w:szCs w:val="32"/>
        </w:rPr>
        <w:t>2</w:t>
      </w:r>
    </w:p>
    <w:p>
      <w:pPr>
        <w:spacing w:line="560" w:lineRule="exact"/>
        <w:jc w:val="center"/>
        <w:outlineLvl w:val="0"/>
        <w:rPr>
          <w:rFonts w:eastAsia="方正小标宋_GBK"/>
          <w:sz w:val="44"/>
          <w:szCs w:val="36"/>
        </w:rPr>
      </w:pPr>
    </w:p>
    <w:p>
      <w:pPr>
        <w:spacing w:line="560" w:lineRule="exact"/>
        <w:jc w:val="center"/>
        <w:outlineLvl w:val="0"/>
        <w:rPr>
          <w:rFonts w:eastAsia="方正小标宋_GBK"/>
          <w:sz w:val="44"/>
          <w:szCs w:val="36"/>
        </w:rPr>
      </w:pPr>
      <w:r>
        <w:rPr>
          <w:rFonts w:hint="eastAsia" w:eastAsia="方正小标宋_GBK"/>
          <w:sz w:val="44"/>
          <w:szCs w:val="36"/>
        </w:rPr>
        <w:t>丰收信用卡标准卡领用合约</w:t>
      </w:r>
      <w:bookmarkEnd w:id="0"/>
      <w:r>
        <w:rPr>
          <w:rFonts w:hint="eastAsia" w:eastAsia="方正小标宋_GBK"/>
          <w:sz w:val="44"/>
          <w:szCs w:val="36"/>
        </w:rPr>
        <w:t>（202</w:t>
      </w:r>
      <w:r>
        <w:rPr>
          <w:rFonts w:eastAsia="方正小标宋_GBK"/>
          <w:sz w:val="44"/>
          <w:szCs w:val="36"/>
        </w:rPr>
        <w:t>3</w:t>
      </w:r>
      <w:r>
        <w:rPr>
          <w:rFonts w:hint="eastAsia" w:eastAsia="方正小标宋_GBK"/>
          <w:sz w:val="44"/>
          <w:szCs w:val="36"/>
        </w:rPr>
        <w:t>版）</w:t>
      </w:r>
    </w:p>
    <w:p>
      <w:pPr>
        <w:spacing w:line="560" w:lineRule="exact"/>
        <w:ind w:firstLine="640" w:firstLineChars="200"/>
        <w:rPr>
          <w:szCs w:val="32"/>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在阅读、理解并自愿遵守《浙江农商银行系统丰收信用卡章程》（以下简称章程）的基础上，丰收信用卡标准个人卡主卡及副卡申请人</w:t>
      </w:r>
      <w:r>
        <w:rPr>
          <w:szCs w:val="32"/>
        </w:rPr>
        <w:t>/</w:t>
      </w:r>
      <w:r>
        <w:rPr>
          <w:rFonts w:hint="eastAsia"/>
          <w:szCs w:val="32"/>
        </w:rPr>
        <w:t>持卡人（以下简称客户）与浙江农商银行系统（含辖内所有农商银行、农信联社）发卡机构（以下简称发卡机构）就领用丰收信用卡标准卡的相关事宜达成共识，并签订合约如下：</w:t>
      </w:r>
    </w:p>
    <w:p>
      <w:pPr>
        <w:spacing w:line="560" w:lineRule="exact"/>
        <w:ind w:firstLine="640" w:firstLineChars="200"/>
        <w:rPr>
          <w:b/>
          <w:szCs w:val="32"/>
        </w:rPr>
      </w:pPr>
      <w:r>
        <w:rPr>
          <w:rFonts w:hint="eastAsia" w:ascii="黑体" w:hAnsi="黑体" w:eastAsia="黑体" w:cs="黑体"/>
          <w:bCs/>
          <w:szCs w:val="32"/>
        </w:rPr>
        <w:t>第一条</w:t>
      </w:r>
      <w:r>
        <w:rPr>
          <w:b/>
          <w:bCs/>
          <w:szCs w:val="32"/>
        </w:rPr>
        <w:t xml:space="preserve"> </w:t>
      </w:r>
      <w:r>
        <w:rPr>
          <w:rFonts w:hint="eastAsia"/>
          <w:b/>
          <w:bCs/>
          <w:szCs w:val="32"/>
        </w:rPr>
        <w:t xml:space="preserve"> </w:t>
      </w:r>
      <w:r>
        <w:rPr>
          <w:rFonts w:hint="eastAsia"/>
          <w:szCs w:val="32"/>
        </w:rPr>
        <w:t>申领</w:t>
      </w:r>
    </w:p>
    <w:p>
      <w:pPr>
        <w:widowControl/>
        <w:tabs>
          <w:tab w:val="left" w:pos="0"/>
        </w:tabs>
        <w:spacing w:line="560" w:lineRule="exact"/>
        <w:ind w:firstLine="640" w:firstLineChars="20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pPr>
        <w:widowControl/>
        <w:tabs>
          <w:tab w:val="left" w:pos="0"/>
        </w:tabs>
        <w:spacing w:line="560" w:lineRule="exact"/>
        <w:ind w:firstLine="640" w:firstLineChars="20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pPr>
        <w:widowControl/>
        <w:spacing w:line="560" w:lineRule="exact"/>
        <w:ind w:firstLine="643" w:firstLineChars="200"/>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t>
      </w:r>
    </w:p>
    <w:p>
      <w:pPr>
        <w:widowControl/>
        <w:spacing w:line="560" w:lineRule="exact"/>
        <w:ind w:firstLine="640" w:firstLineChars="200"/>
        <w:rPr>
          <w:rStyle w:val="11"/>
        </w:rPr>
      </w:pPr>
      <w:r>
        <w:rPr>
          <w:rFonts w:hint="eastAsia"/>
          <w:szCs w:val="32"/>
        </w:rPr>
        <w:t>主卡申请人可分别申请不同的卡产品，副卡申请人可对应申请主卡相应的卡，且只能对应申请不超过叁张副卡。</w:t>
      </w:r>
    </w:p>
    <w:p>
      <w:pPr>
        <w:widowControl/>
        <w:spacing w:line="560" w:lineRule="exact"/>
        <w:ind w:firstLine="643" w:firstLineChars="200"/>
        <w:rPr>
          <w:b/>
          <w:bCs/>
          <w:szCs w:val="32"/>
        </w:rPr>
      </w:pPr>
      <w:r>
        <w:rPr>
          <w:b/>
          <w:bCs/>
          <w:szCs w:val="32"/>
        </w:rPr>
        <w:t>2.</w:t>
      </w:r>
      <w:r>
        <w:rPr>
          <w:rFonts w:hint="eastAsia"/>
          <w:b/>
          <w:szCs w:val="32"/>
        </w:rPr>
        <w:t>客户保证其向发卡机构提供的所有申请资料和信息是真实</w:t>
      </w:r>
      <w:r>
        <w:rPr>
          <w:rFonts w:hint="eastAsia"/>
          <w:b/>
          <w:bCs/>
          <w:szCs w:val="32"/>
        </w:rPr>
        <w:t>、准确、完整和合法的。客户授权发卡机构查询、收集、留存、使用、对外提供信息等处理活动的具体约定，以《浙江农商银行系统丰收信用卡个人综合信息查询和使用授权书》约定为准。</w:t>
      </w:r>
      <w:bookmarkStart w:id="1" w:name="_GoBack"/>
      <w:bookmarkEnd w:id="1"/>
    </w:p>
    <w:p>
      <w:pPr>
        <w:spacing w:line="560" w:lineRule="exact"/>
        <w:ind w:firstLine="640" w:firstLineChars="200"/>
        <w:rPr>
          <w:szCs w:val="32"/>
        </w:rPr>
      </w:pPr>
      <w:r>
        <w:rPr>
          <w:szCs w:val="32"/>
        </w:rPr>
        <w:t>3.</w:t>
      </w:r>
      <w:r>
        <w:rPr>
          <w:rFonts w:hint="eastAsia"/>
          <w:szCs w:val="32"/>
        </w:rPr>
        <w:t>发卡机构有权根据客户的资信状况决定是否同意客户的领卡申请并确定其账户信用额度。</w:t>
      </w:r>
    </w:p>
    <w:p>
      <w:pPr>
        <w:pStyle w:val="2"/>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0" w:firstLineChars="200"/>
        <w:rPr>
          <w:b/>
          <w:bCs/>
          <w:szCs w:val="32"/>
        </w:rPr>
      </w:pPr>
      <w:r>
        <w:rPr>
          <w:szCs w:val="32"/>
        </w:rPr>
        <w:t>5.</w:t>
      </w:r>
      <w:r>
        <w:rPr>
          <w:rFonts w:hint="eastAsia"/>
          <w:szCs w:val="32"/>
        </w:rPr>
        <w:t>主卡申请人</w:t>
      </w:r>
      <w:r>
        <w:rPr>
          <w:szCs w:val="32"/>
        </w:rPr>
        <w:t>/</w:t>
      </w:r>
      <w:r>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b/>
          <w:bCs/>
          <w:szCs w:val="32"/>
        </w:rPr>
        <w:t xml:space="preserve"> </w:t>
      </w:r>
      <w:r>
        <w:rPr>
          <w:rFonts w:hint="eastAsia"/>
          <w:szCs w:val="32"/>
        </w:rPr>
        <w:t>使用</w:t>
      </w:r>
    </w:p>
    <w:p>
      <w:pPr>
        <w:spacing w:line="560" w:lineRule="exact"/>
        <w:ind w:firstLine="643" w:firstLineChars="200"/>
        <w:rPr>
          <w:szCs w:val="32"/>
        </w:rPr>
      </w:pPr>
      <w:r>
        <w:rPr>
          <w:b/>
          <w:bCs/>
          <w:szCs w:val="32"/>
        </w:rPr>
        <w:t>1.</w:t>
      </w:r>
      <w:r>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Pr>
          <w:rFonts w:hint="eastAsia"/>
          <w:szCs w:val="32"/>
        </w:rPr>
        <w:t>发卡机构另通过指定的途径向客户提供标准卡交易密码（以下简称密码）。</w:t>
      </w:r>
    </w:p>
    <w:p>
      <w:pPr>
        <w:spacing w:line="560" w:lineRule="exact"/>
        <w:ind w:firstLine="640" w:firstLineChars="200"/>
        <w:rPr>
          <w:szCs w:val="32"/>
        </w:rPr>
      </w:pPr>
      <w:r>
        <w:rPr>
          <w:rFonts w:hint="eastAsia"/>
          <w:szCs w:val="32"/>
        </w:rPr>
        <w:t>2.客户应及时激活卡片或虚拟卡号，激活后客户应支付年费，此后每年年费按对年对月的方式由发卡机构在客户标准卡账户中收取。虚拟卡号激活后支持绑定电子支付（即网络支付）。</w:t>
      </w:r>
    </w:p>
    <w:p>
      <w:pPr>
        <w:spacing w:line="560" w:lineRule="exact"/>
        <w:ind w:firstLine="640" w:firstLineChars="200"/>
        <w:rPr>
          <w:szCs w:val="32"/>
        </w:rPr>
      </w:pPr>
      <w:r>
        <w:rPr>
          <w:rFonts w:hint="eastAsia"/>
          <w:szCs w:val="32"/>
        </w:rPr>
        <w:t>3.客户支取现金或转账使用信用额度的合计金额不得超过标准卡账户授信额度的50%。</w:t>
      </w:r>
    </w:p>
    <w:p>
      <w:pPr>
        <w:widowControl/>
        <w:numPr>
          <w:ilvl w:val="255"/>
          <w:numId w:val="0"/>
        </w:numPr>
        <w:tabs>
          <w:tab w:val="left" w:pos="0"/>
        </w:tabs>
        <w:spacing w:line="560" w:lineRule="exact"/>
        <w:ind w:firstLine="640" w:firstLineChars="200"/>
        <w:rPr>
          <w:bCs/>
          <w:szCs w:val="32"/>
        </w:rPr>
      </w:pPr>
      <w:r>
        <w:rPr>
          <w:szCs w:val="32"/>
        </w:rPr>
        <w:t>4.</w:t>
      </w:r>
      <w:r>
        <w:rPr>
          <w:rFonts w:hint="eastAsia"/>
          <w:szCs w:val="32"/>
        </w:rPr>
        <w:t>客户凭卡在境内带有银联受理标识的特约商户消费结账的确认方式为“密码</w:t>
      </w:r>
      <w:r>
        <w:rPr>
          <w:szCs w:val="32"/>
        </w:rPr>
        <w:t>+</w:t>
      </w:r>
      <w:r>
        <w:rPr>
          <w:rFonts w:hint="eastAsia"/>
          <w:szCs w:val="32"/>
        </w:rPr>
        <w:t>签名”，在境外带有银联受理标识的特约商户消费结账的确认方式为“密码</w:t>
      </w:r>
      <w:r>
        <w:rPr>
          <w:szCs w:val="32"/>
        </w:rPr>
        <w:t>+</w:t>
      </w:r>
      <w:r>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pPr>
        <w:widowControl/>
        <w:numPr>
          <w:ilvl w:val="255"/>
          <w:numId w:val="0"/>
        </w:numPr>
        <w:tabs>
          <w:tab w:val="left" w:pos="0"/>
        </w:tabs>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numPr>
          <w:ilvl w:val="255"/>
          <w:numId w:val="0"/>
        </w:numPr>
        <w:tabs>
          <w:tab w:val="left" w:pos="0"/>
        </w:tabs>
        <w:spacing w:line="560" w:lineRule="exact"/>
        <w:ind w:firstLine="643" w:firstLineChars="200"/>
        <w:rPr>
          <w:b/>
          <w:szCs w:val="32"/>
        </w:rPr>
      </w:pPr>
      <w:r>
        <w:rPr>
          <w:rFonts w:hint="eastAsia"/>
          <w:b/>
          <w:bCs/>
          <w:szCs w:val="32"/>
        </w:rPr>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spacing w:line="560" w:lineRule="exact"/>
        <w:ind w:firstLine="643" w:firstLineChars="200"/>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pPr>
        <w:numPr>
          <w:ilvl w:val="255"/>
          <w:numId w:val="0"/>
        </w:numPr>
        <w:tabs>
          <w:tab w:val="left" w:pos="0"/>
        </w:tabs>
        <w:spacing w:line="560" w:lineRule="exact"/>
        <w:ind w:firstLine="643" w:firstLineChars="200"/>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40" w:firstLineChars="200"/>
        <w:rPr>
          <w:szCs w:val="32"/>
        </w:rPr>
      </w:pPr>
      <w:r>
        <w:rPr>
          <w:rFonts w:hint="eastAsia"/>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43" w:firstLineChars="200"/>
        <w:rPr>
          <w:szCs w:val="32"/>
        </w:rPr>
      </w:pPr>
      <w:r>
        <w:rPr>
          <w:rFonts w:hint="eastAsia"/>
          <w:b/>
          <w:bCs/>
          <w:szCs w:val="32"/>
        </w:rPr>
        <w:t>经密码或验证要素校验通过，交易（含预授权交易）即视为客户本人所为。基于客户签字形成的交易凭证和/或凭其他验证要素、密码产生的信息记录之一或全部均属于该项交易的有效凭据。</w:t>
      </w:r>
    </w:p>
    <w:p>
      <w:pPr>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客户与特约商户或其它第三方的交易纠纷应自行解决，发卡机构不负任何责任，客户不得以此拒偿因使用标准卡交易所产生的债务，客户也不得以退还使用标准卡交易取得的货物等方式向发卡机构索取退款。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发卡机构可以根据客户资信状况、标准卡的使用状况动态管理客户授信额度，对符合条件的客户，经客户同意后可调升信用卡授信额度。发卡机构可以对超过</w:t>
      </w:r>
      <w:r>
        <w:rPr>
          <w:b/>
          <w:bCs/>
          <w:szCs w:val="32"/>
        </w:rPr>
        <w:t>6</w:t>
      </w:r>
      <w:r>
        <w:rPr>
          <w:rFonts w:hint="eastAsia"/>
          <w:b/>
          <w:bCs/>
          <w:szCs w:val="32"/>
        </w:rPr>
        <w:t>个月未发生交易的标准卡调减信用额度并提前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标准卡损坏时，客户可向发卡机构要求办理补换卡手续并按规定支付补换卡手续费。</w:t>
      </w:r>
    </w:p>
    <w:p>
      <w:pPr>
        <w:spacing w:line="560" w:lineRule="exact"/>
        <w:ind w:firstLine="626" w:firstLineChars="195"/>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）调减客户的信用额度；（</w:t>
      </w:r>
      <w:r>
        <w:rPr>
          <w:b/>
          <w:bCs/>
          <w:szCs w:val="32"/>
        </w:rPr>
        <w:t>3</w:t>
      </w:r>
      <w:r>
        <w:rPr>
          <w:rFonts w:hint="eastAsia"/>
          <w:b/>
          <w:bCs/>
          <w:szCs w:val="32"/>
        </w:rPr>
        <w:t>）中止客户使用标准卡；（</w:t>
      </w:r>
      <w:r>
        <w:rPr>
          <w:b/>
          <w:bCs/>
          <w:szCs w:val="32"/>
        </w:rPr>
        <w:t>4</w:t>
      </w:r>
      <w:r>
        <w:rPr>
          <w:rFonts w:hint="eastAsia"/>
          <w:b/>
          <w:bCs/>
          <w:szCs w:val="32"/>
        </w:rPr>
        <w:t>）自行收回或授权所属机构和特约商户没收标准卡；（</w:t>
      </w:r>
      <w:r>
        <w:rPr>
          <w:b/>
          <w:bCs/>
          <w:szCs w:val="32"/>
        </w:rPr>
        <w:t>5</w:t>
      </w:r>
      <w:r>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pPr>
        <w:pStyle w:val="2"/>
        <w:spacing w:line="560" w:lineRule="exact"/>
        <w:ind w:firstLine="630" w:firstLineChars="196"/>
        <w:jc w:val="both"/>
        <w:rPr>
          <w:b/>
          <w:bCs/>
          <w:szCs w:val="32"/>
        </w:rPr>
      </w:pPr>
      <w:r>
        <w:rPr>
          <w:b/>
          <w:bCs/>
          <w:szCs w:val="32"/>
        </w:rPr>
        <w:t>12.</w:t>
      </w:r>
      <w:r>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客户同意发卡机构可根据法律、法规、规章及其他规范性文件或风险管理需要，对客户在柜面、非柜面或特约商户等渠道的标准卡消费、取现、转账等交易设定限制或限额。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如经查证认定相关交易应属有效的标准卡交易，客户应承担调阅签购单手续费及查证过程中可能发生的鉴定及其他额外费用、该交易款项及相关利息和费用。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b/>
          <w:bCs/>
          <w:szCs w:val="32"/>
        </w:rPr>
        <w:t xml:space="preserve"> </w:t>
      </w:r>
      <w:r>
        <w:rPr>
          <w:rFonts w:hint="eastAsia"/>
          <w:szCs w:val="32"/>
        </w:rPr>
        <w:t>计息及还款</w:t>
      </w:r>
    </w:p>
    <w:p>
      <w:pPr>
        <w:spacing w:line="560" w:lineRule="exact"/>
        <w:ind w:firstLine="643" w:firstLineChars="200"/>
        <w:rPr>
          <w:b/>
          <w:bCs/>
          <w:szCs w:val="32"/>
        </w:rPr>
      </w:pPr>
      <w:r>
        <w:rPr>
          <w:b/>
          <w:bCs/>
          <w:szCs w:val="32"/>
        </w:rPr>
        <w:t>1.</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日，客户在到期还款日（含）前偿还对账单所列的全部应还款额的，则无需支付除取现及转账外的交易的透支利息。</w:t>
      </w:r>
    </w:p>
    <w:p>
      <w:pPr>
        <w:spacing w:line="560" w:lineRule="exact"/>
        <w:ind w:firstLine="640" w:firstLineChars="200"/>
        <w:rPr>
          <w:szCs w:val="32"/>
        </w:rPr>
      </w:pPr>
      <w:r>
        <w:rPr>
          <w:szCs w:val="32"/>
        </w:rPr>
        <w:t>2.</w:t>
      </w:r>
      <w:r>
        <w:rPr>
          <w:rFonts w:hint="eastAsia"/>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30" w:firstLineChars="196"/>
        <w:rPr>
          <w:b/>
          <w:bCs/>
          <w:szCs w:val="32"/>
        </w:rPr>
      </w:pPr>
      <w:r>
        <w:rPr>
          <w:b/>
          <w:bCs/>
          <w:szCs w:val="32"/>
        </w:rPr>
        <w:t>3.</w:t>
      </w:r>
      <w:r>
        <w:rPr>
          <w:rFonts w:hint="eastAsia"/>
          <w:b/>
          <w:bCs/>
          <w:szCs w:val="32"/>
        </w:rPr>
        <w:t>客户未能在到期还款日（含）前全额还款的（上期应还款额未清偿部分小于或等于</w:t>
      </w:r>
      <w:r>
        <w:rPr>
          <w:b/>
          <w:bCs/>
          <w:szCs w:val="32"/>
        </w:rPr>
        <w:t>10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4.</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5.</w:t>
      </w:r>
      <w:r>
        <w:rPr>
          <w:rFonts w:hint="eastAsia"/>
          <w:b/>
          <w:bCs/>
          <w:szCs w:val="32"/>
        </w:rPr>
        <w:t>持卡人账户结计的费用永久免息。</w:t>
      </w:r>
    </w:p>
    <w:p>
      <w:pPr>
        <w:spacing w:line="560" w:lineRule="exact"/>
        <w:ind w:firstLine="643" w:firstLineChars="200"/>
        <w:rPr>
          <w:b/>
          <w:bCs/>
          <w:szCs w:val="32"/>
        </w:rPr>
      </w:pPr>
      <w:r>
        <w:rPr>
          <w:b/>
          <w:bCs/>
          <w:szCs w:val="32"/>
        </w:rPr>
        <w:t>6.</w:t>
      </w:r>
      <w:r>
        <w:rPr>
          <w:rFonts w:hint="eastAsia"/>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8.</w:t>
      </w:r>
      <w:r>
        <w:rPr>
          <w:rFonts w:hint="eastAsia"/>
          <w:b/>
          <w:bCs/>
          <w:szCs w:val="32"/>
        </w:rPr>
        <w:t>对于标准卡内的存款，发卡机构不计付利息。</w:t>
      </w:r>
    </w:p>
    <w:p>
      <w:pPr>
        <w:spacing w:line="560" w:lineRule="exact"/>
        <w:ind w:firstLine="643" w:firstLineChars="200"/>
        <w:rPr>
          <w:b/>
          <w:bCs/>
          <w:szCs w:val="32"/>
        </w:rPr>
      </w:pPr>
      <w:r>
        <w:rPr>
          <w:b/>
          <w:bCs/>
          <w:szCs w:val="32"/>
        </w:rPr>
        <w:t>9.</w:t>
      </w:r>
      <w:r>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b/>
          <w:bCs/>
          <w:szCs w:val="32"/>
        </w:rPr>
      </w:pPr>
      <w:r>
        <w:rPr>
          <w:szCs w:val="32"/>
        </w:rPr>
        <w:t>10.</w:t>
      </w:r>
      <w:r>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Pr>
          <w:rFonts w:hint="eastAsia"/>
          <w:b/>
          <w:bCs/>
          <w:szCs w:val="32"/>
        </w:rPr>
        <w:t>客户应确保还款账户中有足额资金用于清偿信用卡欠款，</w:t>
      </w:r>
      <w:r>
        <w:rPr>
          <w:rFonts w:hint="eastAsia"/>
          <w:b/>
          <w:szCs w:val="32"/>
        </w:rPr>
        <w:t>如该还款账户在扣款时的可用余额不足，则将余额全部扣减用于还款，其余未还部分不再另行补扣，客户需自行通过其他方式还款至信用卡。</w:t>
      </w:r>
      <w:r>
        <w:rPr>
          <w:rFonts w:hint="eastAsia"/>
          <w:b/>
          <w:bCs/>
          <w:szCs w:val="32"/>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40" w:firstLineChars="200"/>
        <w:rPr>
          <w:b/>
          <w:szCs w:val="32"/>
        </w:rPr>
      </w:pPr>
      <w:r>
        <w:rPr>
          <w:szCs w:val="32"/>
        </w:rPr>
        <w:t>11.</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pPr>
        <w:widowControl/>
        <w:numPr>
          <w:ilvl w:val="255"/>
          <w:numId w:val="0"/>
        </w:numPr>
        <w:tabs>
          <w:tab w:val="left" w:pos="0"/>
        </w:tabs>
        <w:spacing w:line="560" w:lineRule="exact"/>
        <w:ind w:firstLine="640" w:firstLineChars="200"/>
        <w:rPr>
          <w:b/>
          <w:szCs w:val="32"/>
        </w:rPr>
      </w:pPr>
      <w:r>
        <w:rPr>
          <w:rFonts w:hint="eastAsia"/>
          <w:bCs/>
          <w:szCs w:val="32"/>
        </w:rPr>
        <w:t>12.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b/>
          <w:bCs/>
          <w:szCs w:val="32"/>
        </w:rPr>
        <w:t xml:space="preserve"> </w:t>
      </w:r>
      <w:r>
        <w:rPr>
          <w:rFonts w:hint="eastAsia"/>
          <w:szCs w:val="32"/>
        </w:rPr>
        <w:t>欠款催收及抵欠</w:t>
      </w:r>
    </w:p>
    <w:p>
      <w:pPr>
        <w:spacing w:line="560" w:lineRule="exact"/>
        <w:ind w:firstLine="643" w:firstLineChars="200"/>
        <w:rPr>
          <w:b/>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以清偿到期欠款，发卡机构在划转前无须另行通知客户。如前述账户币种与欠款的标准卡账户结算币种不一致，以扣款日通过人民币套算的间接汇率折算。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标准卡卡片的有效期最长为</w:t>
      </w:r>
      <w:r>
        <w:rPr>
          <w:b/>
          <w:bCs/>
          <w:szCs w:val="32"/>
        </w:rPr>
        <w:t>5</w:t>
      </w:r>
      <w:r>
        <w:rPr>
          <w:rFonts w:hint="eastAsia"/>
          <w:b/>
          <w:bCs/>
          <w:szCs w:val="32"/>
        </w:rPr>
        <w:t>年，具体以标准卡正面印制的有效期为准，过期自动失效，但客户使用标准卡所发生的债权债务关系并不因标准卡到期失效而消灭或改变。</w:t>
      </w:r>
    </w:p>
    <w:p>
      <w:pPr>
        <w:widowControl/>
        <w:spacing w:line="560" w:lineRule="exact"/>
        <w:ind w:firstLine="640" w:firstLineChars="200"/>
        <w:rPr>
          <w:szCs w:val="32"/>
        </w:rPr>
      </w:pPr>
      <w:r>
        <w:rPr>
          <w:szCs w:val="32"/>
        </w:rPr>
        <w:t>2.</w:t>
      </w:r>
      <w:r>
        <w:rPr>
          <w:rFonts w:hint="eastAsia"/>
          <w:szCs w:val="32"/>
        </w:rPr>
        <w:t>客户有权办理标准卡销户手续以终止用卡，此时客户应一次性偿还其标准卡账户所有账款。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pPr>
      <w:r>
        <w:rPr>
          <w:b/>
          <w:bCs/>
          <w:szCs w:val="32"/>
        </w:rPr>
        <w:t>3.</w:t>
      </w:r>
      <w:r>
        <w:rPr>
          <w:rFonts w:hint="eastAsia"/>
          <w:b/>
          <w:bCs/>
          <w:szCs w:val="32"/>
        </w:rPr>
        <w:t>客户如未在卡片有效期满前两个月书面或电话通知发卡机构要求终止使用此卡，发卡机构视同客户同意到期更换新卡，</w:t>
      </w:r>
      <w:r>
        <w:rPr>
          <w:rFonts w:hint="eastAsia"/>
          <w:b/>
          <w:bCs/>
          <w:spacing w:val="11"/>
          <w:szCs w:val="32"/>
        </w:rPr>
        <w:t>更换新卡后，本合约继续有效</w:t>
      </w:r>
      <w:r>
        <w:rPr>
          <w:rFonts w:hint="eastAsia"/>
          <w:spacing w:val="11"/>
          <w:szCs w:val="32"/>
        </w:rPr>
        <w:t>。</w:t>
      </w:r>
      <w:r>
        <w:rPr>
          <w:rFonts w:hint="eastAsia"/>
          <w:b/>
          <w:bCs/>
          <w:szCs w:val="32"/>
        </w:rPr>
        <w:t>发卡机构有权决定是否为客户更换新卡。</w:t>
      </w:r>
      <w:r>
        <w:rPr>
          <w:rFonts w:hint="eastAsia"/>
          <w:szCs w:val="32"/>
        </w:rPr>
        <w:t>章程、本合约及其他业务规定对已过期的标准卡继续有效，发卡机构继续保留对已过期标准卡的管理权、追索权等权利。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0" w:firstLineChars="200"/>
        <w:rPr>
          <w:b/>
          <w:bCs/>
          <w:szCs w:val="32"/>
        </w:rPr>
      </w:pPr>
      <w:r>
        <w:rPr>
          <w:rFonts w:hint="eastAsia" w:ascii="黑体" w:hAnsi="黑体" w:eastAsia="黑体" w:cs="黑体"/>
          <w:szCs w:val="32"/>
        </w:rPr>
        <w:t>第七条</w:t>
      </w:r>
      <w:r>
        <w:rPr>
          <w:rFonts w:hint="eastAsia"/>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 xml:space="preserve">第八条 </w:t>
      </w:r>
      <w:r>
        <w:rPr>
          <w:rFonts w:ascii="黑体" w:hAnsi="黑体" w:eastAsia="黑体" w:cs="黑体"/>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发卡机构向标准卡主卡客户发出有关通知，视同已同时通知副卡客户。主卡客户有义务将发卡机构通知知会其副卡客户。</w:t>
      </w:r>
    </w:p>
    <w:p>
      <w:pPr>
        <w:widowControl/>
        <w:spacing w:line="560" w:lineRule="exact"/>
        <w:ind w:firstLine="643" w:firstLineChars="200"/>
        <w:rPr>
          <w:b/>
          <w:bCs/>
          <w:szCs w:val="32"/>
        </w:rPr>
      </w:pPr>
      <w:r>
        <w:rPr>
          <w:b/>
          <w:bCs/>
          <w:szCs w:val="32"/>
        </w:rPr>
        <w:t>4.</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b/>
          <w:bCs/>
          <w:szCs w:val="32"/>
        </w:rPr>
        <w:t>5.</w:t>
      </w:r>
      <w:r>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43" w:firstLineChars="200"/>
        <w:rPr>
          <w:b/>
          <w:bCs/>
          <w:szCs w:val="32"/>
        </w:rPr>
      </w:pPr>
      <w:r>
        <w:rPr>
          <w:b/>
          <w:bCs/>
          <w:szCs w:val="32"/>
        </w:rPr>
        <w:t>6.</w:t>
      </w:r>
      <w:r>
        <w:rPr>
          <w:rFonts w:hint="eastAsia"/>
          <w:b/>
          <w:bCs/>
          <w:szCs w:val="32"/>
        </w:rPr>
        <w:t>如果标准卡不被任何商家、银行、其他金融机构或任何其他人所接受或承认，非因发卡机构过错，客户不应要求发卡机构对此负任何责任。</w:t>
      </w:r>
    </w:p>
    <w:p>
      <w:pPr>
        <w:widowControl/>
        <w:spacing w:line="560" w:lineRule="exact"/>
        <w:ind w:firstLine="643" w:firstLineChars="200"/>
        <w:rPr>
          <w:b/>
          <w:szCs w:val="32"/>
        </w:rPr>
      </w:pPr>
      <w:r>
        <w:rPr>
          <w:b/>
          <w:bCs/>
          <w:szCs w:val="32"/>
        </w:rPr>
        <w:t>7.</w:t>
      </w:r>
      <w:r>
        <w:rPr>
          <w:rFonts w:hint="eastAsia"/>
          <w:b/>
          <w:bCs/>
          <w:szCs w:val="32"/>
        </w:rPr>
        <w:t>客户</w:t>
      </w:r>
      <w:r>
        <w:rPr>
          <w:rFonts w:hint="eastAsia"/>
          <w:b/>
          <w:szCs w:val="32"/>
        </w:rPr>
        <w:t>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43" w:firstLineChars="200"/>
        <w:rPr>
          <w:b/>
          <w:szCs w:val="32"/>
        </w:rPr>
      </w:pPr>
      <w:r>
        <w:rPr>
          <w:b/>
          <w:szCs w:val="32"/>
        </w:rPr>
        <w:t>8.为了给客户提供相关增值服务，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3" w:firstLineChars="200"/>
        <w:rPr>
          <w:szCs w:val="32"/>
        </w:rPr>
      </w:pPr>
      <w:r>
        <w:rPr>
          <w:b/>
          <w:szCs w:val="32"/>
        </w:rPr>
        <w:t>9</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b/>
          <w:bCs/>
          <w:szCs w:val="32"/>
        </w:rPr>
        <w:t xml:space="preserve"> </w:t>
      </w:r>
      <w:r>
        <w:rPr>
          <w:rFonts w:hint="eastAsia"/>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标准卡申请表、章程和收费表是本合约的组成部分。本合约构成对章程的解释和补充，章程修改导致本合约与章程发生冲突时应以章程为准。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pPr>
        <w:spacing w:line="560" w:lineRule="exact"/>
        <w:ind w:firstLine="643" w:firstLineChars="200"/>
        <w:rPr>
          <w:b/>
          <w:szCs w:val="32"/>
        </w:rPr>
      </w:pPr>
      <w:r>
        <w:rPr>
          <w:b/>
          <w:szCs w:val="32"/>
        </w:rPr>
        <w:t>5.</w:t>
      </w:r>
      <w:r>
        <w:rPr>
          <w:rFonts w:hint="eastAsia"/>
          <w:b/>
          <w:szCs w:val="32"/>
        </w:rPr>
        <w:t>有关本合约的一切争议，由双方协商解决，不愿协商或协商不成的，由发卡机构所在地人民法院受理。</w:t>
      </w:r>
    </w:p>
    <w:p>
      <w:pPr>
        <w:pStyle w:val="6"/>
        <w:tabs>
          <w:tab w:val="left" w:pos="0"/>
        </w:tabs>
        <w:spacing w:line="560" w:lineRule="exact"/>
        <w:ind w:firstLine="643" w:firstLineChars="20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6.</w:t>
      </w:r>
      <w:r>
        <w:rPr>
          <w:rFonts w:hint="eastAsia" w:ascii="Times New Roman" w:hAnsi="Times New Roman" w:eastAsia="仿宋_GB2312"/>
          <w:b/>
          <w:bCs/>
          <w:kern w:val="2"/>
          <w:sz w:val="32"/>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r>
        <w:rPr>
          <w:rFonts w:hint="eastAsia" w:ascii="Times New Roman" w:hAnsi="Times New Roman" w:eastAsia="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rFonts w:ascii="Times New Roman" w:hAnsi="Times New Roman"/>
          <w:b/>
          <w:bCs/>
          <w:szCs w:val="32"/>
        </w:rPr>
      </w:pPr>
      <w:r>
        <w:rPr>
          <w:rFonts w:hint="eastAsia" w:ascii="Times New Roman" w:hAnsi="Times New Roman" w:eastAsia="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 xml:space="preserve">第十条  </w:t>
      </w:r>
      <w:r>
        <w:rPr>
          <w:rFonts w:hint="eastAsia"/>
          <w:szCs w:val="32"/>
        </w:rPr>
        <w:t>声明</w:t>
      </w:r>
    </w:p>
    <w:p>
      <w:pPr>
        <w:widowControl/>
        <w:spacing w:line="560" w:lineRule="exact"/>
        <w:ind w:firstLine="643" w:firstLineChars="200"/>
        <w:rPr>
          <w:b/>
          <w:bCs/>
          <w:color w:val="FF0000"/>
          <w:szCs w:val="32"/>
        </w:rPr>
      </w:pPr>
      <w:r>
        <w:rPr>
          <w:b/>
          <w:bCs/>
          <w:szCs w:val="32"/>
        </w:rPr>
        <w:t>1.</w:t>
      </w:r>
      <w:r>
        <w:rPr>
          <w:rFonts w:hint="eastAsia"/>
          <w:b/>
          <w:bCs/>
          <w:szCs w:val="32"/>
        </w:rPr>
        <w:t>客户已详尽阅读并完全知晓和承诺遵守章程和本合约，包括其中免除或限制发卡机构责任的条款。</w:t>
      </w:r>
    </w:p>
    <w:p>
      <w:pPr>
        <w:widowControl/>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7387EE6"/>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semiHidden/>
    <w:unhideWhenUsed/>
    <w:qFormat/>
    <w:uiPriority w:val="0"/>
    <w:rPr>
      <w:b/>
      <w:bCs/>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页眉 字符"/>
    <w:basedOn w:val="9"/>
    <w:link w:val="5"/>
    <w:qFormat/>
    <w:uiPriority w:val="0"/>
    <w:rPr>
      <w:rFonts w:ascii="Times New Roman" w:hAnsi="Times New Roman" w:eastAsia="仿宋_GB2312" w:cs="Times New Roman"/>
      <w:kern w:val="2"/>
      <w:sz w:val="18"/>
      <w:szCs w:val="18"/>
    </w:rPr>
  </w:style>
  <w:style w:type="character" w:customStyle="1" w:styleId="13">
    <w:name w:val="页脚 字符"/>
    <w:basedOn w:val="9"/>
    <w:link w:val="4"/>
    <w:qFormat/>
    <w:uiPriority w:val="0"/>
    <w:rPr>
      <w:rFonts w:ascii="Times New Roman" w:hAnsi="Times New Roman" w:eastAsia="仿宋_GB2312" w:cs="Times New Roman"/>
      <w:kern w:val="2"/>
      <w:sz w:val="18"/>
      <w:szCs w:val="18"/>
    </w:rPr>
  </w:style>
  <w:style w:type="character" w:customStyle="1" w:styleId="14">
    <w:name w:val="批注文字 字符"/>
    <w:basedOn w:val="9"/>
    <w:link w:val="2"/>
    <w:qFormat/>
    <w:uiPriority w:val="99"/>
    <w:rPr>
      <w:rFonts w:ascii="Times New Roman" w:hAnsi="Times New Roman" w:eastAsia="仿宋_GB2312" w:cs="Times New Roman"/>
      <w:kern w:val="2"/>
      <w:sz w:val="32"/>
    </w:rPr>
  </w:style>
  <w:style w:type="character" w:customStyle="1" w:styleId="15">
    <w:name w:val="批注主题 字符"/>
    <w:basedOn w:val="14"/>
    <w:link w:val="7"/>
    <w:semiHidden/>
    <w:qFormat/>
    <w:uiPriority w:val="0"/>
    <w:rPr>
      <w:rFonts w:ascii="Times New Roman" w:hAnsi="Times New Roman" w:eastAsia="仿宋_GB2312" w:cs="Times New Roman"/>
      <w:b/>
      <w:bCs/>
      <w:kern w:val="2"/>
      <w:sz w:val="32"/>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character" w:customStyle="1" w:styleId="17">
    <w:name w:val="批注框文本 字符"/>
    <w:basedOn w:val="9"/>
    <w:link w:val="3"/>
    <w:qFormat/>
    <w:uiPriority w:val="0"/>
    <w:rPr>
      <w:rFonts w:eastAsia="仿宋_GB2312"/>
      <w:kern w:val="2"/>
      <w:sz w:val="18"/>
      <w:szCs w:val="18"/>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4"/>
    <w:hidden/>
    <w:semiHidden/>
    <w:qFormat/>
    <w:uiPriority w:val="99"/>
    <w:rPr>
      <w:rFonts w:ascii="Times New Roman" w:hAnsi="Times New Roman" w:eastAsia="仿宋_GB2312" w:cs="Times New Roman"/>
      <w:kern w:val="2"/>
      <w:sz w:val="32"/>
      <w:lang w:val="en-US" w:eastAsia="zh-CN" w:bidi="ar-SA"/>
    </w:rPr>
  </w:style>
  <w:style w:type="paragraph" w:customStyle="1" w:styleId="21">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datastoreItem>
</file>

<file path=docProps/app.xml><?xml version="1.0" encoding="utf-8"?>
<Properties xmlns="http://schemas.openxmlformats.org/officeDocument/2006/extended-properties" xmlns:vt="http://schemas.openxmlformats.org/officeDocument/2006/docPropsVTypes">
  <Template>Normal</Template>
  <Pages>17</Pages>
  <Words>1378</Words>
  <Characters>7855</Characters>
  <Lines>65</Lines>
  <Paragraphs>18</Paragraphs>
  <TotalTime>14</TotalTime>
  <ScaleCrop>false</ScaleCrop>
  <LinksUpToDate>false</LinksUpToDate>
  <CharactersWithSpaces>9215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2022-11-22T02:46:00Z</dcterms:created>
  <dc:creator>今晚吃啥</dc:creator>
  <cp:lastModifiedBy>包绣瑜</cp:lastModifiedBy>
  <cp:lastPrinted>2022-10-21T00:38:00Z</cp:lastPrinted>
  <dcterms:modified xsi:type="dcterms:W3CDTF">2023-05-11T02:12:43Z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58340A827D5246FF8FD25C805C30AA8D</vt:lpwstr>
  </property>
  <property fmtid="{D5CDD505-2E9C-101B-9397-08002B2CF9AE}" pid="4" name="KSOSaveFontToCloudKey">
    <vt:lpwstr>739922054_btnclosed</vt:lpwstr>
  </property>
</Properties>
</file>