
<file path=[Content_Types].xml><?xml version="1.0" encoding="utf-8"?>
<Types xmlns="http://schemas.openxmlformats.org/package/2006/content-types">
  <Default ContentType="application/vnd.openxmlformats-package.relationships+xml" Extension="rels"/>
  <Default ContentType="application/xml" Extens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11.0.0 -->
  <w:background w:color="ffffff">
    <v:background id="_x0000_s1025" filled="t"/>
  </w:background>
  <w:body>
    <w:p w:rsidR="00C873CF">
      <w:pPr>
        <w:jc w:val="center"/>
        <w:rPr>
          <w:rFonts w:ascii="宋体" w:hAnsi="宋体"/>
          <w:b/>
          <w:color w:val="000000"/>
          <w:sz w:val="32"/>
          <w:szCs w:val="32"/>
          <w:shd w:val="clear" w:color="auto" w:fill="FFFFFF"/>
        </w:rPr>
      </w:pPr>
      <w:bookmarkStart w:id="0" w:name="_GoBack"/>
      <w:bookmarkEnd w:id="0"/>
      <w:r>
        <w:rPr>
          <w:rFonts w:ascii="宋体" w:hAnsi="宋体" w:hint="eastAsia"/>
          <w:b/>
          <w:color w:val="000000"/>
          <w:sz w:val="32"/>
          <w:szCs w:val="32"/>
          <w:shd w:val="clear" w:color="auto" w:fill="FFFFFF"/>
        </w:rPr>
        <w:t xml:space="preserve"> </w:t>
      </w:r>
    </w:p>
    <w:p w:rsidR="00C873CF">
      <w:pPr>
        <w:jc w:val="center"/>
        <w:rPr>
          <w:rFonts w:ascii="宋体" w:hAnsi="宋体"/>
          <w:b/>
          <w:color w:val="000000"/>
          <w:sz w:val="32"/>
          <w:szCs w:val="32"/>
          <w:shd w:val="clear" w:color="auto" w:fill="FFFFFF"/>
        </w:rPr>
      </w:pPr>
    </w:p>
    <w:p w:rsidR="00C873CF">
      <w:pPr>
        <w:jc w:val="center"/>
        <w:rPr>
          <w:rFonts w:ascii="宋体" w:hAnsi="宋体"/>
          <w:b/>
          <w:color w:val="000000"/>
          <w:sz w:val="32"/>
          <w:szCs w:val="32"/>
          <w:shd w:val="clear" w:color="auto" w:fill="FFFFFF"/>
        </w:rPr>
      </w:pPr>
      <w:r>
        <w:rPr>
          <w:rFonts w:ascii="宋体" w:eastAsia="宋体" w:hAnsi="宋体" w:cs="宋体"/>
          <w:b/>
          <w:i w:val="0"/>
          <w:color w:val="000000"/>
          <w:position w:val="-1"/>
          <w:sz w:val="32"/>
          <w:u w:val="none"/>
        </w:rPr>
        <w:t>招银理财招睿添金7天持有期5号固定收益类理财计划</w:t>
      </w:r>
    </w:p>
    <w:p w:rsidR="00C873CF">
      <w:pPr>
        <w:jc w:val="center"/>
        <w:rPr>
          <w:rFonts w:ascii="宋体" w:hAnsi="宋体"/>
          <w:b/>
          <w:color w:val="000000"/>
          <w:sz w:val="32"/>
          <w:szCs w:val="32"/>
          <w:shd w:val="clear" w:color="auto" w:fill="FFFFFF"/>
        </w:rPr>
      </w:pPr>
      <w:r>
        <w:rPr>
          <w:rFonts w:ascii="宋体" w:eastAsia="宋体" w:hAnsi="宋体" w:cs="宋体"/>
          <w:b/>
          <w:i w:val="0"/>
          <w:color w:val="000000"/>
          <w:position w:val="-1"/>
          <w:sz w:val="32"/>
          <w:u w:val="none"/>
        </w:rPr>
        <w:t>2026</w:t>
      </w:r>
      <w:r>
        <w:rPr>
          <w:rFonts w:ascii="宋体" w:hAnsi="宋体" w:hint="eastAsia"/>
          <w:b/>
          <w:color w:val="000000"/>
          <w:sz w:val="32"/>
          <w:szCs w:val="32"/>
          <w:shd w:val="clear" w:color="auto" w:fill="FFFFFF"/>
        </w:rPr>
        <w:t>年</w:t>
      </w:r>
      <w:r>
        <w:rPr>
          <w:rFonts w:ascii="宋体" w:eastAsia="宋体" w:hAnsi="宋体" w:cs="宋体"/>
          <w:b/>
          <w:i w:val="0"/>
          <w:color w:val="000000"/>
          <w:position w:val="-1"/>
          <w:sz w:val="32"/>
          <w:u w:val="none"/>
        </w:rPr>
        <w:t>上半年</w:t>
      </w:r>
      <w:r>
        <w:rPr>
          <w:rFonts w:ascii="宋体" w:hAnsi="宋体" w:hint="eastAsia"/>
          <w:b/>
          <w:color w:val="000000"/>
          <w:sz w:val="32"/>
          <w:szCs w:val="32"/>
          <w:shd w:val="clear" w:color="auto" w:fill="FFFFFF"/>
        </w:rPr>
        <w:t>报告</w:t>
      </w:r>
    </w:p>
    <w:p w:rsidR="00C873CF">
      <w:pPr>
        <w:jc w:val="center"/>
        <w:rPr>
          <w:rFonts w:ascii="宋体" w:hAnsi="宋体"/>
          <w:b/>
          <w:sz w:val="32"/>
          <w:szCs w:val="32"/>
          <w:shd w:val="clear" w:color="auto" w:fill="FFFFFF"/>
        </w:rPr>
      </w:pPr>
      <w:r>
        <w:rPr>
          <w:rFonts w:ascii="宋体" w:hAnsi="宋体" w:hint="eastAsia"/>
          <w:b/>
          <w:sz w:val="32"/>
          <w:szCs w:val="32"/>
          <w:shd w:val="clear" w:color="auto" w:fill="FFFFFF"/>
        </w:rPr>
        <w:t>（产品</w:t>
      </w:r>
      <w:r>
        <w:rPr>
          <w:rFonts w:ascii="宋体" w:hAnsi="宋体"/>
          <w:b/>
          <w:sz w:val="32"/>
          <w:szCs w:val="32"/>
          <w:shd w:val="clear" w:color="auto" w:fill="FFFFFF"/>
        </w:rPr>
        <w:t>代码：</w:t>
      </w:r>
      <w:r>
        <w:rPr>
          <w:rFonts w:ascii="宋体" w:eastAsia="宋体" w:hAnsi="宋体" w:cs="宋体"/>
          <w:b/>
          <w:i w:val="0"/>
          <w:color w:val="000000"/>
          <w:position w:val="-1"/>
          <w:sz w:val="32"/>
          <w:u w:val="none"/>
        </w:rPr>
        <w:t>120015</w:t>
      </w:r>
      <w:r>
        <w:rPr>
          <w:rFonts w:ascii="宋体" w:hAnsi="宋体" w:hint="eastAsia"/>
          <w:b/>
          <w:sz w:val="32"/>
          <w:szCs w:val="32"/>
          <w:shd w:val="clear" w:color="auto" w:fill="FFFFFF"/>
        </w:rPr>
        <w:t>）</w:t>
      </w:r>
    </w:p>
    <w:p w:rsidR="00C873CF">
      <w:pPr>
        <w:jc w:val="center"/>
        <w:rPr>
          <w:rFonts w:ascii="宋体" w:hAnsi="宋体"/>
          <w:b/>
          <w:sz w:val="32"/>
          <w:szCs w:val="32"/>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spacing w:line="360" w:lineRule="auto"/>
        <w:ind w:firstLine="1890" w:firstLineChars="900"/>
        <w:rPr>
          <w:rFonts w:ascii="宋体" w:hAnsi="宋体"/>
          <w:sz w:val="24"/>
          <w:shd w:val="clear" w:color="auto" w:fill="FFFFFF"/>
        </w:rPr>
      </w:pPr>
      <w:r>
        <w:rPr>
          <w:rFonts w:ascii="宋体" w:eastAsia="宋体" w:hAnsi="宋体" w:cs="宋体"/>
          <w:b w:val="0"/>
          <w:i w:val="0"/>
          <w:color w:val="000000"/>
          <w:position w:val="-1"/>
          <w:sz w:val="24"/>
          <w:u w:val="none"/>
        </w:rPr>
        <w:t>理财产品管理人：招银理财有限责任公司</w:t>
      </w:r>
    </w:p>
    <w:p w:rsidR="00C873CF">
      <w:pPr>
        <w:spacing w:line="360" w:lineRule="auto"/>
        <w:ind w:firstLine="1890" w:firstLineChars="900"/>
        <w:rPr>
          <w:rFonts w:ascii="宋体" w:hAnsi="宋体"/>
          <w:sz w:val="24"/>
          <w:shd w:val="clear" w:color="auto" w:fill="FFFFFF"/>
        </w:rPr>
      </w:pPr>
      <w:r>
        <w:rPr>
          <w:rFonts w:ascii="宋体" w:eastAsia="宋体" w:hAnsi="宋体" w:cs="宋体"/>
          <w:b w:val="0"/>
          <w:i w:val="0"/>
          <w:color w:val="000000"/>
          <w:position w:val="-1"/>
          <w:sz w:val="24"/>
          <w:u w:val="none"/>
        </w:rPr>
        <w:t>理财产品托管人：招商银行股份有限公司</w:t>
      </w:r>
    </w:p>
    <w:p w:rsidR="00C873CF">
      <w:pPr>
        <w:spacing w:line="360" w:lineRule="auto"/>
        <w:ind w:firstLine="1890" w:firstLineChars="900"/>
        <w:rPr>
          <w:rFonts w:ascii="宋体" w:hAnsi="宋体"/>
          <w:sz w:val="24"/>
          <w:shd w:val="clear" w:color="auto" w:fill="FFFFFF"/>
        </w:rPr>
      </w:pPr>
      <w:r>
        <w:rPr>
          <w:rFonts w:ascii="宋体" w:hAnsi="宋体" w:hint="eastAsia"/>
          <w:sz w:val="24"/>
          <w:shd w:val="clear" w:color="auto" w:fill="FFFFFF"/>
        </w:rPr>
        <w:t xml:space="preserve"> </w:t>
      </w:r>
    </w:p>
    <w:p w:rsidR="00C873CF">
      <w:pPr>
        <w:jc w:val="center"/>
        <w:rPr>
          <w:rFonts w:ascii="宋体" w:hAnsi="宋体"/>
          <w:b/>
          <w:sz w:val="32"/>
          <w:szCs w:val="32"/>
          <w:shd w:val="clear" w:color="auto" w:fill="FFFFFF"/>
        </w:rPr>
      </w:pPr>
    </w:p>
    <w:p w:rsidR="00C873CF">
      <w:pPr>
        <w:jc w:val="center"/>
        <w:rPr>
          <w:rFonts w:ascii="宋体" w:hAnsi="宋体"/>
          <w:b/>
          <w:sz w:val="32"/>
          <w:szCs w:val="32"/>
          <w:shd w:val="clear" w:color="auto" w:fill="FFFFFF"/>
        </w:rPr>
      </w:pPr>
    </w:p>
    <w:p w:rsidR="00C873CF">
      <w:pPr>
        <w:jc w:val="center"/>
        <w:rPr>
          <w:rFonts w:ascii="宋体" w:hAnsi="宋体"/>
          <w:b/>
          <w:sz w:val="32"/>
          <w:szCs w:val="32"/>
          <w:shd w:val="clear" w:color="auto" w:fill="FFFFFF"/>
        </w:rPr>
      </w:pPr>
    </w:p>
    <w:p w:rsidR="00C873CF">
      <w:pPr>
        <w:rPr>
          <w:rFonts w:ascii="宋体" w:hAnsi="宋体"/>
          <w:b/>
          <w:sz w:val="32"/>
          <w:szCs w:val="32"/>
          <w:shd w:val="clear" w:color="auto" w:fill="FFFFFF"/>
        </w:rPr>
      </w:pPr>
    </w:p>
    <w:p w:rsidR="00C873CF">
      <w:pPr>
        <w:jc w:val="center"/>
        <w:rPr>
          <w:rFonts w:ascii="宋体" w:hAnsi="宋体"/>
          <w:b/>
          <w:sz w:val="30"/>
          <w:shd w:val="clear" w:color="auto" w:fill="FFFFFF"/>
        </w:rPr>
      </w:pPr>
      <w:r>
        <w:rPr>
          <w:rFonts w:ascii="宋体" w:hAnsi="宋体" w:hint="eastAsia"/>
          <w:b/>
          <w:sz w:val="30"/>
          <w:shd w:val="clear" w:color="auto" w:fill="FFFFFF"/>
        </w:rPr>
        <w:t>目    录</w:t>
      </w:r>
    </w:p>
    <w:p w:rsidR="00C873CF">
      <w:pPr>
        <w:jc w:val="center"/>
        <w:rPr>
          <w:rFonts w:ascii="宋体" w:hAnsi="宋体"/>
          <w:b/>
          <w:sz w:val="30"/>
          <w:shd w:val="clear" w:color="auto" w:fill="FFFFFF"/>
        </w:rPr>
      </w:pPr>
    </w:p>
    <w:p>
      <w:pPr>
        <w:pStyle w:val="TOC1"/>
        <w:tabs>
          <w:tab w:val="right" w:leader="dot" w:pos="9060"/>
        </w:tabs>
        <w:rPr>
          <w:rFonts w:asciiTheme="minorHAnsi" w:hAnsiTheme="minorHAnsi"/>
          <w:noProof/>
          <w:sz w:val="22"/>
        </w:rPr>
      </w:pPr>
      <w:r>
        <w:fldChar w:fldCharType="begin"/>
      </w:r>
      <w:r>
        <w:instrText>TOC \o "1-2" \h \z \u</w:instrText>
      </w:r>
      <w:r>
        <w:fldChar w:fldCharType="separate"/>
      </w:r>
      <w:r>
        <w:fldChar w:fldCharType="begin"/>
      </w:r>
      <w:r>
        <w:rPr>
          <w:rStyle w:val="Hyperlink"/>
        </w:rPr>
        <w:instrText xml:space="preserve"> HYPERLINK \l "_Toc256000000" </w:instrText>
      </w:r>
      <w:r>
        <w:fldChar w:fldCharType="separate"/>
      </w:r>
      <w:r w:rsidRPr="00267A1B">
        <w:rPr>
          <w:rStyle w:val="Hyperlink"/>
          <w:rFonts w:ascii="宋体" w:hAnsi="宋体" w:hint="eastAsia"/>
          <w:shd w:val="clear" w:color="auto" w:fill="FFFFFF"/>
          <w:lang w:val="en-US"/>
        </w:rPr>
        <w:t xml:space="preserve">§1 </w:t>
      </w:r>
      <w:r>
        <w:rPr>
          <w:rStyle w:val="Hyperlink"/>
          <w:rFonts w:ascii="宋体" w:hAnsi="宋体" w:hint="eastAsia"/>
          <w:shd w:val="clear" w:color="auto" w:fill="FFFFFF"/>
        </w:rPr>
        <w:t>重要提示</w:t>
      </w:r>
      <w:r>
        <w:rPr>
          <w:rStyle w:val="Hyperlink"/>
        </w:rPr>
        <w:tab/>
      </w:r>
      <w:r>
        <w:fldChar w:fldCharType="begin"/>
      </w:r>
      <w:r>
        <w:rPr>
          <w:rStyle w:val="Hyperlink"/>
        </w:rPr>
        <w:instrText xml:space="preserve"> PAGEREF _Toc256000000 \h </w:instrText>
      </w:r>
      <w:r>
        <w:fldChar w:fldCharType="separate"/>
      </w:r>
      <w:r>
        <w:rPr>
          <w:rStyle w:val="Hyperlink"/>
        </w:rPr>
        <w:t>3</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"_Toc256000001" </w:instrText>
      </w:r>
      <w:r>
        <w:fldChar w:fldCharType="separate"/>
      </w:r>
      <w:r>
        <w:rPr>
          <w:rStyle w:val="Hyperlink"/>
          <w:rFonts w:hint="eastAsia"/>
          <w:shd w:val="clear" w:color="auto" w:fill="FFFFFF"/>
        </w:rPr>
        <w:t>1.1 重要提示</w:t>
      </w:r>
      <w:r>
        <w:rPr>
          <w:rStyle w:val="Hyperlink"/>
        </w:rPr>
        <w:tab/>
      </w:r>
      <w:r>
        <w:fldChar w:fldCharType="begin"/>
      </w:r>
      <w:r>
        <w:rPr>
          <w:rStyle w:val="Hyperlink"/>
        </w:rPr>
        <w:instrText xml:space="preserve"> PAGEREF _Toc256000001 \h </w:instrText>
      </w:r>
      <w:r>
        <w:fldChar w:fldCharType="separate"/>
      </w:r>
      <w:r>
        <w:rPr>
          <w:rStyle w:val="Hyperlink"/>
        </w:rPr>
        <w:t>3</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"_Toc256000002" </w:instrText>
      </w:r>
      <w:r>
        <w:fldChar w:fldCharType="separate"/>
      </w:r>
      <w:r>
        <w:rPr>
          <w:rStyle w:val="Hyperlink"/>
          <w:rFonts w:ascii="宋体" w:hAnsi="宋体" w:hint="eastAsia"/>
          <w:shd w:val="clear" w:color="auto" w:fill="FFFFFF"/>
        </w:rPr>
        <w:t>§2 理财产品简介</w:t>
      </w:r>
      <w:r>
        <w:rPr>
          <w:rStyle w:val="Hyperlink"/>
        </w:rPr>
        <w:tab/>
      </w:r>
      <w:r>
        <w:fldChar w:fldCharType="begin"/>
      </w:r>
      <w:r>
        <w:rPr>
          <w:rStyle w:val="Hyperlink"/>
        </w:rPr>
        <w:instrText xml:space="preserve"> PAGEREF _Toc256000002 \h </w:instrText>
      </w:r>
      <w:r>
        <w:fldChar w:fldCharType="separate"/>
      </w:r>
      <w:r>
        <w:rPr>
          <w:rStyle w:val="Hyperlink"/>
        </w:rPr>
        <w:t>3</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"_Toc256000003" </w:instrText>
      </w:r>
      <w:r>
        <w:fldChar w:fldCharType="separate"/>
      </w:r>
      <w:r>
        <w:rPr>
          <w:rStyle w:val="Hyperlink"/>
          <w:rFonts w:hint="eastAsia"/>
          <w:shd w:val="clear" w:color="auto" w:fill="FFFFFF"/>
        </w:rPr>
        <w:t>2.1 理财产品基本情况</w:t>
      </w:r>
      <w:r>
        <w:rPr>
          <w:rStyle w:val="Hyperlink"/>
        </w:rPr>
        <w:tab/>
      </w:r>
      <w:r>
        <w:fldChar w:fldCharType="begin"/>
      </w:r>
      <w:r>
        <w:rPr>
          <w:rStyle w:val="Hyperlink"/>
        </w:rPr>
        <w:instrText xml:space="preserve"> PAGEREF _Toc256000003 \h </w:instrText>
      </w:r>
      <w:r>
        <w:fldChar w:fldCharType="separate"/>
      </w:r>
      <w:r>
        <w:rPr>
          <w:rStyle w:val="Hyperlink"/>
        </w:rPr>
        <w:t>3</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"_Toc256000005" </w:instrText>
      </w:r>
      <w:r>
        <w:fldChar w:fldCharType="separate"/>
      </w:r>
      <w:r>
        <w:rPr>
          <w:rStyle w:val="Hyperlink"/>
          <w:rFonts w:ascii="宋体" w:hAnsi="宋体" w:hint="eastAsia"/>
          <w:shd w:val="clear" w:color="auto" w:fill="FFFFFF"/>
        </w:rPr>
        <w:t>§3 理财产品净值表现</w:t>
      </w:r>
      <w:r>
        <w:rPr>
          <w:rStyle w:val="Hyperlink"/>
        </w:rPr>
        <w:tab/>
      </w:r>
      <w:r>
        <w:fldChar w:fldCharType="begin"/>
      </w:r>
      <w:r>
        <w:rPr>
          <w:rStyle w:val="Hyperlink"/>
        </w:rPr>
        <w:instrText xml:space="preserve"> PAGEREF _Toc256000005 \h </w:instrText>
      </w:r>
      <w:r>
        <w:fldChar w:fldCharType="separate"/>
      </w:r>
      <w:r>
        <w:rPr>
          <w:rStyle w:val="Hyperlink"/>
        </w:rPr>
        <w:t>4</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"_Toc256000006" </w:instrText>
      </w:r>
      <w:r>
        <w:fldChar w:fldCharType="separate"/>
      </w:r>
      <w:r>
        <w:rPr>
          <w:rStyle w:val="Hyperlink"/>
          <w:rFonts w:hint="eastAsia"/>
          <w:shd w:val="clear" w:color="auto" w:fill="FFFFFF"/>
        </w:rPr>
        <w:t>3.1 截至报告期末产品资产净值及份额净值</w:t>
      </w:r>
      <w:r>
        <w:rPr>
          <w:rStyle w:val="Hyperlink"/>
        </w:rPr>
        <w:tab/>
      </w:r>
      <w:r>
        <w:fldChar w:fldCharType="begin"/>
      </w:r>
      <w:r>
        <w:rPr>
          <w:rStyle w:val="Hyperlink"/>
        </w:rPr>
        <w:instrText xml:space="preserve"> PAGEREF _Toc256000006 \h </w:instrText>
      </w:r>
      <w:r>
        <w:fldChar w:fldCharType="separate"/>
      </w:r>
      <w:r>
        <w:rPr>
          <w:rStyle w:val="Hyperlink"/>
        </w:rPr>
        <w:t>4</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"_Toc256000007" </w:instrText>
      </w:r>
      <w:r>
        <w:fldChar w:fldCharType="separate"/>
      </w:r>
      <w:r>
        <w:rPr>
          <w:rStyle w:val="Hyperlink"/>
          <w:rFonts w:hint="eastAsia"/>
          <w:shd w:val="clear" w:color="auto" w:fill="FFFFFF"/>
        </w:rPr>
        <w:t>3.2 理财产品年化收益率</w:t>
      </w:r>
      <w:r>
        <w:rPr>
          <w:rStyle w:val="Hyperlink"/>
        </w:rPr>
        <w:tab/>
      </w:r>
      <w:r>
        <w:fldChar w:fldCharType="begin"/>
      </w:r>
      <w:r>
        <w:rPr>
          <w:rStyle w:val="Hyperlink"/>
        </w:rPr>
        <w:instrText xml:space="preserve"> PAGEREF _Toc256000007 \h </w:instrText>
      </w:r>
      <w:r>
        <w:fldChar w:fldCharType="separate"/>
      </w:r>
      <w:r>
        <w:rPr>
          <w:rStyle w:val="Hyperlink"/>
        </w:rPr>
        <w:t>4</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"_Toc256000008" </w:instrText>
      </w:r>
      <w:r>
        <w:fldChar w:fldCharType="separate"/>
      </w:r>
      <w:r>
        <w:rPr>
          <w:rStyle w:val="Hyperlink"/>
          <w:rFonts w:ascii="宋体" w:hAnsi="宋体" w:hint="eastAsia"/>
          <w:shd w:val="clear" w:color="auto" w:fill="FFFFFF"/>
        </w:rPr>
        <w:t>§4 管理人报告</w:t>
      </w:r>
      <w:r>
        <w:rPr>
          <w:rStyle w:val="Hyperlink"/>
        </w:rPr>
        <w:tab/>
      </w:r>
      <w:r>
        <w:fldChar w:fldCharType="begin"/>
      </w:r>
      <w:r>
        <w:rPr>
          <w:rStyle w:val="Hyperlink"/>
        </w:rPr>
        <w:instrText xml:space="preserve"> PAGEREF _Toc256000008 \h </w:instrText>
      </w:r>
      <w:r>
        <w:fldChar w:fldCharType="separate"/>
      </w:r>
      <w:r>
        <w:rPr>
          <w:rStyle w:val="Hyperlink"/>
        </w:rPr>
        <w:t>5</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"_Toc256000009" </w:instrText>
      </w:r>
      <w:r>
        <w:fldChar w:fldCharType="separate"/>
      </w:r>
      <w:r>
        <w:rPr>
          <w:rStyle w:val="Hyperlink"/>
          <w:rFonts w:hint="eastAsia"/>
          <w:shd w:val="clear" w:color="auto" w:fill="FFFFFF"/>
        </w:rPr>
        <w:t>4.1 管理人对报告期内理财产品的投资策略说明</w:t>
      </w:r>
      <w:r>
        <w:rPr>
          <w:rStyle w:val="Hyperlink"/>
        </w:rPr>
        <w:tab/>
      </w:r>
      <w:r>
        <w:fldChar w:fldCharType="begin"/>
      </w:r>
      <w:r>
        <w:rPr>
          <w:rStyle w:val="Hyperlink"/>
        </w:rPr>
        <w:instrText xml:space="preserve"> PAGEREF _Toc256000009 \h </w:instrText>
      </w:r>
      <w:r>
        <w:fldChar w:fldCharType="separate"/>
      </w:r>
      <w:r>
        <w:rPr>
          <w:rStyle w:val="Hyperlink"/>
        </w:rPr>
        <w:t>5</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"_Toc256000010" </w:instrText>
      </w:r>
      <w:r>
        <w:fldChar w:fldCharType="separate"/>
      </w:r>
      <w:r>
        <w:rPr>
          <w:rStyle w:val="Hyperlink"/>
          <w:rFonts w:hint="eastAsia"/>
          <w:shd w:val="clear" w:color="auto" w:fill="FFFFFF"/>
        </w:rPr>
        <w:t>4.2 理财产品报告期内关联交易发生情况</w:t>
      </w:r>
      <w:r>
        <w:rPr>
          <w:rStyle w:val="Hyperlink"/>
        </w:rPr>
        <w:tab/>
      </w:r>
      <w:r>
        <w:fldChar w:fldCharType="begin"/>
      </w:r>
      <w:r>
        <w:rPr>
          <w:rStyle w:val="Hyperlink"/>
        </w:rPr>
        <w:instrText xml:space="preserve"> PAGEREF _Toc256000010 \h </w:instrText>
      </w:r>
      <w:r>
        <w:fldChar w:fldCharType="separate"/>
      </w:r>
      <w:r>
        <w:rPr>
          <w:rStyle w:val="Hyperlink"/>
        </w:rPr>
        <w:t>6</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"_Toc256000011" </w:instrText>
      </w:r>
      <w:r>
        <w:fldChar w:fldCharType="separate"/>
      </w:r>
      <w:r>
        <w:rPr>
          <w:rStyle w:val="Hyperlink"/>
          <w:rFonts w:ascii="宋体" w:hAnsi="宋体" w:hint="eastAsia"/>
          <w:shd w:val="clear" w:color="auto" w:fill="FFFFFF"/>
        </w:rPr>
        <w:t>§</w:t>
      </w:r>
      <w:r>
        <w:rPr>
          <w:rStyle w:val="Hyperlink"/>
          <w:rFonts w:ascii="宋体" w:hAnsi="宋体"/>
          <w:shd w:val="clear" w:color="auto" w:fill="FFFFFF"/>
        </w:rPr>
        <w:t>5</w:t>
      </w:r>
      <w:r>
        <w:rPr>
          <w:rStyle w:val="Hyperlink"/>
          <w:rFonts w:ascii="宋体" w:hAnsi="宋体" w:hint="eastAsia"/>
          <w:shd w:val="clear" w:color="auto" w:fill="FFFFFF"/>
        </w:rPr>
        <w:t xml:space="preserve"> 投资组合报告</w:t>
      </w:r>
      <w:r>
        <w:rPr>
          <w:rStyle w:val="Hyperlink"/>
        </w:rPr>
        <w:tab/>
      </w:r>
      <w:r>
        <w:fldChar w:fldCharType="begin"/>
      </w:r>
      <w:r>
        <w:rPr>
          <w:rStyle w:val="Hyperlink"/>
        </w:rPr>
        <w:instrText xml:space="preserve"> PAGEREF _Toc256000011 \h </w:instrText>
      </w:r>
      <w:r>
        <w:fldChar w:fldCharType="separate"/>
      </w:r>
      <w:r>
        <w:rPr>
          <w:rStyle w:val="Hyperlink"/>
        </w:rPr>
        <w:t>6</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"_Toc256000012" </w:instrText>
      </w:r>
      <w:r>
        <w:fldChar w:fldCharType="separate"/>
      </w:r>
      <w:r>
        <w:rPr>
          <w:rStyle w:val="Hyperlink"/>
          <w:position w:val="-1"/>
        </w:rPr>
        <w:t>5.1 期末理财产品资产组合情况</w:t>
      </w:r>
      <w:r>
        <w:rPr>
          <w:rStyle w:val="Hyperlink"/>
        </w:rPr>
        <w:tab/>
      </w:r>
      <w:r>
        <w:fldChar w:fldCharType="begin"/>
      </w:r>
      <w:r>
        <w:rPr>
          <w:rStyle w:val="Hyperlink"/>
        </w:rPr>
        <w:instrText xml:space="preserve"> PAGEREF _Toc256000012 \h </w:instrText>
      </w:r>
      <w:r>
        <w:fldChar w:fldCharType="separate"/>
      </w:r>
      <w:r>
        <w:rPr>
          <w:rStyle w:val="Hyperlink"/>
        </w:rPr>
        <w:t>6</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"_Toc256000013" </w:instrText>
      </w:r>
      <w:r>
        <w:fldChar w:fldCharType="separate"/>
      </w:r>
      <w:r>
        <w:rPr>
          <w:rStyle w:val="Hyperlink"/>
          <w:position w:val="-1"/>
        </w:rPr>
        <w:t>5.2 期末投资组合前十项资产</w:t>
      </w:r>
      <w:r>
        <w:rPr>
          <w:rStyle w:val="Hyperlink"/>
        </w:rPr>
        <w:tab/>
      </w:r>
      <w:r>
        <w:fldChar w:fldCharType="begin"/>
      </w:r>
      <w:r>
        <w:rPr>
          <w:rStyle w:val="Hyperlink"/>
        </w:rPr>
        <w:instrText xml:space="preserve"> PAGEREF _Toc256000013 \h </w:instrText>
      </w:r>
      <w:r>
        <w:fldChar w:fldCharType="separate"/>
      </w:r>
      <w:r>
        <w:rPr>
          <w:rStyle w:val="Hyperlink"/>
        </w:rPr>
        <w:t>7</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"_Toc256000014" </w:instrText>
      </w:r>
      <w:r>
        <w:fldChar w:fldCharType="separate"/>
      </w:r>
      <w:r>
        <w:rPr>
          <w:rStyle w:val="Hyperlink"/>
          <w:position w:val="-1"/>
        </w:rPr>
        <w:t>5.3 报告期末非标准化债权类资产信息</w:t>
      </w:r>
      <w:r>
        <w:rPr>
          <w:rStyle w:val="Hyperlink"/>
        </w:rPr>
        <w:tab/>
      </w:r>
      <w:r>
        <w:fldChar w:fldCharType="begin"/>
      </w:r>
      <w:r>
        <w:rPr>
          <w:rStyle w:val="Hyperlink"/>
        </w:rPr>
        <w:instrText xml:space="preserve"> PAGEREF _Toc256000014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"_Toc256000015" </w:instrText>
      </w:r>
      <w:r>
        <w:fldChar w:fldCharType="separate"/>
      </w:r>
      <w:r>
        <w:rPr>
          <w:rStyle w:val="Hyperlink"/>
          <w:position w:val="-1"/>
        </w:rPr>
        <w:t>5.4 报告期内到期的非标准化债权类资产及收益情况</w:t>
      </w:r>
      <w:r>
        <w:rPr>
          <w:rStyle w:val="Hyperlink"/>
        </w:rPr>
        <w:tab/>
      </w:r>
      <w:r>
        <w:fldChar w:fldCharType="begin"/>
      </w:r>
      <w:r>
        <w:rPr>
          <w:rStyle w:val="Hyperlink"/>
        </w:rPr>
        <w:instrText xml:space="preserve"> PAGEREF _Toc256000015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"_Toc256000016" </w:instrText>
      </w:r>
      <w:r>
        <w:fldChar w:fldCharType="separate"/>
      </w:r>
      <w:r>
        <w:rPr>
          <w:rStyle w:val="Hyperlink"/>
          <w:position w:val="-1"/>
        </w:rPr>
        <w:t>5.5 报告期末信贷资产收受益权资产信息</w:t>
      </w:r>
      <w:r>
        <w:rPr>
          <w:rStyle w:val="Hyperlink"/>
        </w:rPr>
        <w:tab/>
      </w:r>
      <w:r>
        <w:fldChar w:fldCharType="begin"/>
      </w:r>
      <w:r>
        <w:rPr>
          <w:rStyle w:val="Hyperlink"/>
        </w:rPr>
        <w:instrText xml:space="preserve"> PAGEREF _Toc256000016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"_Toc256000018" </w:instrText>
      </w:r>
      <w:r>
        <w:fldChar w:fldCharType="separate"/>
      </w:r>
      <w:r>
        <w:rPr>
          <w:rStyle w:val="Hyperlink"/>
        </w:rPr>
        <w:t>5.6 报告期末商品及金融衍生品资产信息</w:t>
      </w:r>
      <w:r>
        <w:rPr>
          <w:rStyle w:val="Hyperlink"/>
        </w:rPr>
        <w:tab/>
      </w:r>
      <w:r>
        <w:fldChar w:fldCharType="begin"/>
      </w:r>
      <w:r>
        <w:rPr>
          <w:rStyle w:val="Hyperlink"/>
        </w:rPr>
        <w:instrText xml:space="preserve"> PAGEREF _Toc256000018 \h </w:instrText>
      </w:r>
      <w:r>
        <w:fldChar w:fldCharType="separate"/>
      </w:r>
      <w:r>
        <w:rPr>
          <w:rStyle w:val="Hyperlink"/>
        </w:rPr>
        <w:t>8</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"_Toc256000020" </w:instrText>
      </w:r>
      <w:r>
        <w:fldChar w:fldCharType="separate"/>
      </w:r>
      <w:r>
        <w:rPr>
          <w:rStyle w:val="Hyperlink"/>
          <w:rFonts w:ascii="宋体" w:hAnsi="宋体" w:hint="eastAsia"/>
          <w:shd w:val="clear" w:color="auto" w:fill="FFFFFF"/>
        </w:rPr>
        <w:t>§</w:t>
      </w:r>
      <w:r>
        <w:rPr>
          <w:rStyle w:val="Hyperlink"/>
          <w:rFonts w:ascii="宋体" w:hAnsi="宋体"/>
          <w:shd w:val="clear" w:color="auto" w:fill="FFFFFF"/>
        </w:rPr>
        <w:t>6</w:t>
      </w:r>
      <w:r>
        <w:rPr>
          <w:rStyle w:val="Hyperlink"/>
          <w:rFonts w:ascii="宋体" w:hAnsi="宋体" w:hint="eastAsia"/>
          <w:shd w:val="clear" w:color="auto" w:fill="FFFFFF"/>
        </w:rPr>
        <w:t xml:space="preserve"> 托管人报告</w:t>
      </w:r>
      <w:r>
        <w:rPr>
          <w:rStyle w:val="Hyperlink"/>
        </w:rPr>
        <w:tab/>
      </w:r>
      <w:r>
        <w:fldChar w:fldCharType="begin"/>
      </w:r>
      <w:r>
        <w:rPr>
          <w:rStyle w:val="Hyperlink"/>
        </w:rPr>
        <w:instrText xml:space="preserve"> PAGEREF _Toc256000020 \h </w:instrText>
      </w:r>
      <w:r>
        <w:fldChar w:fldCharType="separate"/>
      </w:r>
      <w:r>
        <w:rPr>
          <w:rStyle w:val="Hyperlink"/>
        </w:rPr>
        <w:t>9</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"_Toc256000021" </w:instrText>
      </w:r>
      <w:r>
        <w:fldChar w:fldCharType="separate"/>
      </w:r>
      <w:r>
        <w:rPr>
          <w:rStyle w:val="Hyperlink"/>
          <w:shd w:val="clear" w:color="auto" w:fill="FFFFFF"/>
        </w:rPr>
        <w:t>6</w:t>
      </w:r>
      <w:r>
        <w:rPr>
          <w:rStyle w:val="Hyperlink"/>
          <w:rFonts w:hint="eastAsia"/>
          <w:shd w:val="clear" w:color="auto" w:fill="FFFFFF"/>
        </w:rPr>
        <w:t>.1 托管人报告</w:t>
      </w:r>
      <w:r>
        <w:rPr>
          <w:rStyle w:val="Hyperlink"/>
        </w:rPr>
        <w:tab/>
      </w:r>
      <w:r>
        <w:fldChar w:fldCharType="begin"/>
      </w:r>
      <w:r>
        <w:rPr>
          <w:rStyle w:val="Hyperlink"/>
        </w:rPr>
        <w:instrText xml:space="preserve"> PAGEREF _Toc256000021 \h </w:instrText>
      </w:r>
      <w:r>
        <w:fldChar w:fldCharType="separate"/>
      </w:r>
      <w:r>
        <w:rPr>
          <w:rStyle w:val="Hyperlink"/>
        </w:rPr>
        <w:t>9</w:t>
      </w:r>
      <w:r>
        <w:fldChar w:fldCharType="end"/>
      </w:r>
      <w:r>
        <w:fldChar w:fldCharType="end"/>
      </w:r>
    </w:p>
    <w:p>
      <w:r>
        <w:fldChar w:fldCharType="end"/>
      </w:r>
    </w:p>
    <w:p w:rsidR="00C873CF">
      <w:pPr>
        <w:widowControl/>
        <w:jc w:val="left"/>
        <w:rPr>
          <w:shd w:val="clear" w:color="auto" w:fill="FFFFFF"/>
        </w:rPr>
      </w:pPr>
      <w:r>
        <w:rPr>
          <w:shd w:val="clear" w:color="auto" w:fill="FFFFFF"/>
        </w:rPr>
        <w:br w:type="page"/>
      </w:r>
    </w:p>
    <w:p w:rsidR="00C873CF" w:rsidRPr="00267A1B">
      <w:pPr>
        <w:pStyle w:val="Heading1"/>
        <w:spacing w:line="360" w:lineRule="auto"/>
        <w:jc w:val="center"/>
        <w:rPr>
          <w:rFonts w:ascii="宋体" w:hAnsi="宋体"/>
          <w:sz w:val="24"/>
          <w:szCs w:val="24"/>
          <w:shd w:val="clear" w:color="auto" w:fill="FFFFFF"/>
          <w:lang w:val="en-US"/>
        </w:rPr>
      </w:pPr>
      <w:bookmarkStart w:id="1" w:name="_Toc12382916"/>
      <w:bookmarkStart w:id="2" w:name="_Toc256000000"/>
      <w:r w:rsidRPr="00267A1B">
        <w:rPr>
          <w:rFonts w:ascii="宋体" w:hAnsi="宋体" w:hint="eastAsia"/>
          <w:sz w:val="24"/>
          <w:szCs w:val="24"/>
          <w:shd w:val="clear" w:color="auto" w:fill="FFFFFF"/>
          <w:lang w:val="en-US"/>
        </w:rPr>
        <w:t xml:space="preserve">§1 </w:t>
      </w:r>
      <w:r>
        <w:rPr>
          <w:rFonts w:ascii="宋体" w:hAnsi="宋体" w:hint="eastAsia"/>
          <w:sz w:val="24"/>
          <w:szCs w:val="24"/>
          <w:shd w:val="clear" w:color="auto" w:fill="FFFFFF"/>
        </w:rPr>
        <w:t>重要提示</w:t>
      </w:r>
      <w:bookmarkEnd w:id="2"/>
      <w:bookmarkEnd w:id="1"/>
    </w:p>
    <w:p w:rsidR="00C873CF">
      <w:pPr>
        <w:pStyle w:val="Heading2"/>
        <w:rPr>
          <w:sz w:val="24"/>
          <w:szCs w:val="24"/>
          <w:shd w:val="clear" w:color="auto" w:fill="FFFFFF"/>
        </w:rPr>
      </w:pPr>
      <w:bookmarkStart w:id="3" w:name="_Toc256000001"/>
      <w:r>
        <w:rPr>
          <w:rFonts w:hint="eastAsia"/>
          <w:sz w:val="24"/>
          <w:szCs w:val="24"/>
          <w:shd w:val="clear" w:color="auto" w:fill="FFFFFF"/>
        </w:rPr>
        <w:t>1.1 重要提示</w:t>
      </w:r>
      <w:bookmarkEnd w:id="3"/>
      <w:bookmarkStart w:id="4" w:name="_Toc12382917"/>
      <w:bookmarkEnd w:id="4"/>
    </w:p>
    <w:tbl>
      <w:tblPr>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tblPr>
      <w:tblGrid>
        <w:gridCol w:w="8522"/>
      </w:tblGrid>
      <w:tr>
        <w:tblPrEx>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tblPrEx>
        <w:trPr>
          <w:trHeight w:val="610"/>
        </w:trPr>
        <w:tc>
          <w:tcPr>
            <w:tcW w:w="8522" w:type="dxa"/>
          </w:tcPr>
          <w:p w:rsidR="00C873CF">
            <w:pPr>
              <w:numPr>
                <w:ilvl w:val="0"/>
                <w:numId w:val="3"/>
              </w:numPr>
              <w:jc w:val="left"/>
              <w:rPr>
                <w:rFonts w:ascii="仿宋" w:eastAsia="仿宋" w:hAnsi="仿宋"/>
                <w:shd w:val="clear" w:color="auto" w:fill="FFFFFF"/>
              </w:rPr>
            </w:pPr>
            <w:r>
              <w:rPr>
                <w:rFonts w:ascii="仿宋" w:eastAsia="仿宋" w:hAnsi="仿宋" w:hint="eastAsia"/>
                <w:shd w:val="clear" w:color="auto" w:fill="FFFFFF"/>
              </w:rPr>
              <w:t>本报告适用于</w:t>
            </w:r>
            <w:r>
              <w:rPr>
                <w:rFonts w:ascii="仿宋" w:eastAsia="仿宋" w:hAnsi="仿宋" w:cs="仿宋"/>
                <w:b w:val="0"/>
                <w:i w:val="0"/>
                <w:color w:val="000000"/>
                <w:position w:val="-1"/>
                <w:u w:val="none"/>
              </w:rPr>
              <w:t>招银理财招睿添金7天持有期5号固定收益类理财计划</w:t>
            </w:r>
            <w:r>
              <w:rPr>
                <w:rFonts w:ascii="仿宋" w:eastAsia="仿宋" w:hAnsi="仿宋" w:hint="eastAsia"/>
                <w:shd w:val="clear" w:color="auto" w:fill="FFFFFF"/>
              </w:rPr>
              <w:t>。理财产品</w:t>
            </w:r>
            <w:r>
              <w:rPr>
                <w:rFonts w:ascii="仿宋" w:eastAsia="仿宋" w:hAnsi="仿宋"/>
                <w:shd w:val="clear" w:color="auto" w:fill="FFFFFF"/>
              </w:rPr>
              <w:t>管理人</w:t>
            </w:r>
            <w:r>
              <w:rPr>
                <w:rFonts w:ascii="仿宋" w:eastAsia="仿宋" w:hAnsi="仿宋" w:hint="eastAsia"/>
                <w:shd w:val="clear" w:color="auto" w:fill="FFFFFF"/>
              </w:rPr>
              <w:t>保证</w:t>
            </w:r>
            <w:r>
              <w:rPr>
                <w:rFonts w:ascii="仿宋" w:eastAsia="仿宋" w:hAnsi="仿宋"/>
                <w:shd w:val="clear" w:color="auto" w:fill="FFFFFF"/>
              </w:rPr>
              <w:t>本报告所载资料不存在虚假记载、误导性陈述或重大遗漏。</w:t>
            </w:r>
          </w:p>
          <w:p w:rsidR="00C873CF">
            <w:pPr>
              <w:numPr>
                <w:ilvl w:val="0"/>
                <w:numId w:val="3"/>
              </w:numPr>
              <w:jc w:val="left"/>
              <w:rPr>
                <w:rFonts w:ascii="仿宋" w:eastAsia="仿宋" w:hAnsi="仿宋"/>
                <w:shd w:val="clear" w:color="auto" w:fill="FFFFFF"/>
              </w:rPr>
            </w:pPr>
            <w:r>
              <w:rPr>
                <w:rFonts w:ascii="仿宋" w:eastAsia="仿宋" w:hAnsi="仿宋"/>
                <w:shd w:val="clear" w:color="auto" w:fill="FFFFFF"/>
              </w:rPr>
              <w:t>理财产品管理人承诺以诚实信用、勤勉尽责的原则管理和运用理财产品资产，但不保证理财产品</w:t>
            </w:r>
            <w:r>
              <w:rPr>
                <w:rFonts w:ascii="仿宋" w:eastAsia="仿宋" w:hAnsi="仿宋" w:hint="eastAsia"/>
                <w:shd w:val="clear" w:color="auto" w:fill="FFFFFF"/>
              </w:rPr>
              <w:t>本金和收益</w:t>
            </w:r>
            <w:r>
              <w:rPr>
                <w:rFonts w:ascii="仿宋" w:eastAsia="仿宋" w:hAnsi="仿宋"/>
                <w:shd w:val="clear" w:color="auto" w:fill="FFFFFF"/>
              </w:rPr>
              <w:t>。</w:t>
            </w:r>
          </w:p>
          <w:p w:rsidR="00C873CF">
            <w:pPr>
              <w:numPr>
                <w:ilvl w:val="0"/>
                <w:numId w:val="3"/>
              </w:numPr>
              <w:rPr>
                <w:rFonts w:ascii="仿宋" w:eastAsia="仿宋" w:hAnsi="仿宋"/>
                <w:shd w:val="clear" w:color="auto" w:fill="FFFFFF"/>
              </w:rPr>
            </w:pPr>
            <w:r>
              <w:rPr>
                <w:rFonts w:ascii="仿宋" w:eastAsia="仿宋" w:hAnsi="仿宋" w:hint="eastAsia"/>
                <w:shd w:val="clear" w:color="auto" w:fill="FFFFFF"/>
              </w:rPr>
              <w:t>本产品为净值型产品，业绩表现将随市场波动，具有不确定性，</w:t>
            </w:r>
            <w:r>
              <w:rPr>
                <w:rFonts w:ascii="仿宋" w:eastAsia="仿宋" w:hAnsi="仿宋" w:hint="eastAsia"/>
                <w:b/>
                <w:bCs/>
                <w:shd w:val="clear" w:color="auto" w:fill="FFFFFF"/>
              </w:rPr>
              <w:t>理财产品过往业绩并不代表其未来表现，不等于理财产品实际收益。</w:t>
            </w:r>
            <w:r>
              <w:rPr>
                <w:rFonts w:ascii="仿宋" w:eastAsia="仿宋" w:hAnsi="仿宋" w:hint="eastAsia"/>
                <w:b/>
                <w:shd w:val="clear" w:color="auto" w:fill="FFFFFF"/>
              </w:rPr>
              <w:t>理财非存款、产品有风险、投资须谨慎</w:t>
            </w:r>
            <w:r>
              <w:rPr>
                <w:rFonts w:ascii="仿宋" w:eastAsia="仿宋" w:hAnsi="仿宋" w:hint="eastAsia"/>
                <w:shd w:val="clear" w:color="auto" w:fill="FFFFFF"/>
              </w:rPr>
              <w:t>，投资者在作出投资决策前应仔细阅读本理财产品的销售文件。</w:t>
            </w:r>
          </w:p>
          <w:p w:rsidR="00C873CF">
            <w:pPr>
              <w:numPr>
                <w:ilvl w:val="0"/>
                <w:numId w:val="3"/>
              </w:numPr>
              <w:jc w:val="left"/>
              <w:rPr>
                <w:rFonts w:ascii="仿宋" w:eastAsia="仿宋" w:hAnsi="仿宋"/>
                <w:shd w:val="clear" w:color="auto" w:fill="FFFFFF"/>
              </w:rPr>
            </w:pPr>
            <w:r>
              <w:rPr>
                <w:rFonts w:ascii="仿宋" w:eastAsia="仿宋" w:hAnsi="仿宋" w:cs="仿宋"/>
                <w:b w:val="0"/>
                <w:i w:val="0"/>
                <w:color w:val="000000"/>
                <w:position w:val="-1"/>
                <w:u w:val="none"/>
              </w:rPr>
              <w:t>本报告期自2026年01月01日起至2026年06月30日止。</w:t>
            </w:r>
          </w:p>
          <w:p w:rsidR="00C873CF">
            <w:pPr>
              <w:jc w:val="left"/>
              <w:rPr>
                <w:rFonts w:ascii="仿宋" w:eastAsia="仿宋" w:hAnsi="仿宋"/>
                <w:shd w:val="clear" w:color="auto" w:fill="FFFFFF"/>
              </w:rPr>
            </w:pPr>
            <w:r>
              <w:rPr>
                <w:rFonts w:ascii="仿宋" w:eastAsia="仿宋" w:hAnsi="仿宋" w:cs="仿宋"/>
                <w:b w:val="0"/>
                <w:i w:val="0"/>
                <w:color w:val="000000"/>
                <w:position w:val="-1"/>
                <w:u w:val="none"/>
              </w:rPr>
              <w:t>注：除非本报告另有说明，本报告内的“元”均指“人民币元”。</w:t>
            </w:r>
          </w:p>
        </w:tc>
      </w:tr>
    </w:tbl>
    <w:p w:rsidR="00C873CF" w:rsidRPr="00F37D7D" w:rsidP="00F37D7D">
      <w:pPr>
        <w:pStyle w:val="Heading1"/>
        <w:spacing w:line="360" w:lineRule="auto"/>
        <w:jc w:val="center"/>
        <w:rPr>
          <w:rFonts w:ascii="宋体" w:hAnsi="宋体"/>
          <w:sz w:val="24"/>
          <w:szCs w:val="24"/>
          <w:shd w:val="clear" w:color="auto" w:fill="FFFFFF"/>
        </w:rPr>
      </w:pPr>
      <w:bookmarkStart w:id="5" w:name="_Toc256000002"/>
      <w:r>
        <w:rPr>
          <w:rFonts w:ascii="宋体" w:hAnsi="宋体" w:hint="eastAsia"/>
          <w:sz w:val="24"/>
          <w:szCs w:val="24"/>
          <w:shd w:val="clear" w:color="auto" w:fill="FFFFFF"/>
        </w:rPr>
        <w:t>§2 理财产品简介</w:t>
      </w:r>
      <w:bookmarkEnd w:id="5"/>
      <w:bookmarkStart w:id="6" w:name="_Toc194311890"/>
      <w:bookmarkStart w:id="7" w:name="_Toc12382918"/>
      <w:bookmarkStart w:id="8" w:name="基础信息"/>
    </w:p>
    <w:p w:rsidR="00A3418A">
      <w:pPr>
        <w:pStyle w:val="Heading2"/>
        <w:rPr>
          <w:sz w:val="24"/>
          <w:szCs w:val="24"/>
          <w:shd w:val="clear" w:color="auto" w:fill="FFFFFF"/>
        </w:rPr>
      </w:pPr>
      <w:bookmarkStart w:id="9" w:name="_Toc256000003"/>
      <w:r>
        <w:rPr>
          <w:rFonts w:hint="eastAsia"/>
          <w:sz w:val="24"/>
          <w:szCs w:val="24"/>
          <w:shd w:val="clear" w:color="auto" w:fill="FFFFFF"/>
        </w:rPr>
        <w:t>2.1 理财产品基本情况</w:t>
      </w:r>
      <w:bookmarkEnd w:id="9"/>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90"/>
        <w:gridCol w:w="5406"/>
      </w:tblGrid>
      <w:tr w:rsidTr="00CA0B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理财产品产品代码</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120015</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理财产品名称</w:t>
            </w:r>
          </w:p>
        </w:tc>
        <w:tc>
          <w:tcPr>
            <w:tcW w:w="3258" w:type="pct"/>
            <w:shd w:val="clear" w:color="auto" w:fill="auto"/>
          </w:tcPr>
          <w:p w:rsidR="00A3418A" w:rsidP="00C841A7">
            <w:pPr>
              <w:rPr>
                <w:rFonts w:ascii="宋体" w:hAnsi="宋体"/>
                <w:color w:val="FF0000"/>
                <w:kern w:val="0"/>
                <w:szCs w:val="21"/>
                <w:shd w:val="clear" w:color="auto" w:fill="FFFFFF"/>
              </w:rPr>
            </w:pPr>
            <w:r>
              <w:rPr>
                <w:rFonts w:ascii="宋体" w:eastAsia="宋体" w:hAnsi="宋体" w:cs="宋体"/>
                <w:b w:val="0"/>
                <w:i w:val="0"/>
                <w:color w:val="000000"/>
                <w:position w:val="-1"/>
                <w:u w:val="none"/>
              </w:rPr>
              <w:t>招银理财招睿添金7天持有期5号固定收益类理财计划</w:t>
            </w:r>
          </w:p>
        </w:tc>
      </w:tr>
      <w:tr w:rsidTr="00CA0B1A">
        <w:tblPrEx>
          <w:tblW w:w="5000" w:type="pct"/>
          <w:tblLook w:val="04A0"/>
        </w:tblPrEx>
        <w:trPr>
          <w:trHeight w:val="259"/>
        </w:trPr>
        <w:tc>
          <w:tcPr>
            <w:tcW w:w="1742" w:type="pct"/>
            <w:shd w:val="clear" w:color="auto" w:fill="auto"/>
            <w:vAlign w:val="center"/>
          </w:tcPr>
          <w:p w:rsidR="00A3418A" w:rsidP="00C841A7">
            <w:pPr>
              <w:rPr>
                <w:rFonts w:ascii="宋体" w:hAnsi="宋体"/>
                <w:szCs w:val="21"/>
                <w:shd w:val="clear" w:color="auto" w:fill="FFFFFF"/>
              </w:rPr>
            </w:pPr>
            <w:r>
              <w:rPr>
                <w:rFonts w:ascii="宋体" w:hAnsi="宋体" w:hint="eastAsia"/>
                <w:szCs w:val="21"/>
                <w:shd w:val="clear" w:color="auto" w:fill="FFFFFF"/>
              </w:rPr>
              <w:t>理财产品登记编码</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Z7001625000014</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产品</w:t>
            </w:r>
            <w:r>
              <w:rPr>
                <w:rFonts w:ascii="宋体" w:hAnsi="宋体"/>
                <w:szCs w:val="21"/>
                <w:shd w:val="clear" w:color="auto" w:fill="FFFFFF"/>
              </w:rPr>
              <w:t>投资</w:t>
            </w:r>
            <w:r>
              <w:rPr>
                <w:rFonts w:ascii="宋体" w:hAnsi="宋体" w:hint="eastAsia"/>
                <w:szCs w:val="21"/>
                <w:shd w:val="clear" w:color="auto" w:fill="FFFFFF"/>
              </w:rPr>
              <w:t>类型</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固定收益类</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产品募集</w:t>
            </w:r>
            <w:r>
              <w:rPr>
                <w:rFonts w:ascii="宋体" w:hAnsi="宋体"/>
                <w:szCs w:val="21"/>
                <w:shd w:val="clear" w:color="auto" w:fill="FFFFFF"/>
              </w:rPr>
              <w:t>方式</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公募</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理财产品运作方式</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开放式净值</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业绩</w:t>
            </w:r>
            <w:r>
              <w:rPr>
                <w:rFonts w:ascii="宋体" w:hAnsi="宋体"/>
                <w:szCs w:val="21"/>
                <w:shd w:val="clear" w:color="auto" w:fill="FFFFFF"/>
              </w:rPr>
              <w:t>比较基准</w:t>
            </w:r>
            <w:r>
              <w:rPr>
                <w:rFonts w:ascii="宋体" w:hAnsi="宋体" w:hint="eastAsia"/>
                <w:szCs w:val="21"/>
                <w:shd w:val="clear" w:color="auto" w:fill="FFFFFF"/>
              </w:rPr>
              <w:t>（如有）</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120015A：50.00%×中国人民银行公布的活期存款利率+50.00%×中债0-3个月国债财富（总值）指数收益率；120015P：50.00%×中国人民银行公布的活期存款利率+50.00%×中债0-3个月国债财富（总值）指数收益率；120015S：50.00%×中国人民银行公布的活期存款利率+50.00%×中债0-3个月国债财富（总值）指数收益率；120015ZX：50.00%×中国人民银行公布的活期存款利率+50.00%×中债0-3个月国债财富（总值）指数收益率（本产品为净值型产品，业绩表现将随市场波动，具有不确定性。）</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业绩</w:t>
            </w:r>
            <w:r>
              <w:rPr>
                <w:rFonts w:ascii="宋体" w:hAnsi="宋体"/>
                <w:szCs w:val="21"/>
                <w:shd w:val="clear" w:color="auto" w:fill="FFFFFF"/>
              </w:rPr>
              <w:t>比较基准测算说明</w:t>
            </w:r>
            <w:r>
              <w:rPr>
                <w:rFonts w:ascii="宋体" w:hAnsi="宋体" w:hint="eastAsia"/>
                <w:szCs w:val="21"/>
                <w:shd w:val="clear" w:color="auto" w:fill="FFFFFF"/>
              </w:rPr>
              <w:t>（如有）</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以产品投资固定收益类资产不低于80%为例，根据当前市场环境下大类资产合意配置比例及大类资产收益情况，考虑杠杆和费率等因素，并结合产品投资策略进行测算，确定本理财产品业绩比较基准。</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color w:val="000000"/>
                <w:szCs w:val="21"/>
                <w:shd w:val="clear" w:color="auto" w:fill="FFFFFF"/>
              </w:rPr>
              <w:t>产品风险</w:t>
            </w:r>
            <w:r>
              <w:rPr>
                <w:rFonts w:ascii="宋体" w:hAnsi="宋体"/>
                <w:color w:val="000000"/>
                <w:szCs w:val="21"/>
                <w:shd w:val="clear" w:color="auto" w:fill="FFFFFF"/>
              </w:rPr>
              <w:t>评级</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PR2</w:t>
            </w:r>
          </w:p>
        </w:tc>
      </w:tr>
      <w:tr w:rsidTr="00CA0B1A">
        <w:tblPrEx>
          <w:tblW w:w="5000" w:type="pct"/>
          <w:tblLook w:val="04A0"/>
        </w:tblPrEx>
        <w:tc>
          <w:tcPr>
            <w:tcW w:w="1742" w:type="pct"/>
            <w:shd w:val="clear" w:color="auto" w:fill="auto"/>
          </w:tcPr>
          <w:p w:rsidR="00A3418A" w:rsidP="00C841A7">
            <w:pPr>
              <w:rPr>
                <w:rFonts w:ascii="宋体" w:hAnsi="宋体"/>
                <w:color w:val="000000"/>
                <w:szCs w:val="21"/>
                <w:shd w:val="clear" w:color="auto" w:fill="FFFFFF"/>
              </w:rPr>
            </w:pPr>
            <w:r>
              <w:rPr>
                <w:rFonts w:ascii="宋体" w:hAnsi="宋体" w:hint="eastAsia"/>
                <w:color w:val="000000"/>
                <w:szCs w:val="21"/>
                <w:shd w:val="clear" w:color="auto" w:fill="FFFFFF"/>
              </w:rPr>
              <w:t>杠杆</w:t>
            </w:r>
            <w:r>
              <w:rPr>
                <w:rFonts w:ascii="宋体" w:hAnsi="宋体"/>
                <w:color w:val="000000"/>
                <w:szCs w:val="21"/>
                <w:shd w:val="clear" w:color="auto" w:fill="FFFFFF"/>
              </w:rPr>
              <w:t>水平</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100.05</w:t>
            </w:r>
            <w:r w:rsidR="002E0136">
              <w:rPr>
                <w:rFonts w:ascii="宋体" w:hAnsi="宋体"/>
                <w:kern w:val="0"/>
                <w:szCs w:val="21"/>
                <w:shd w:val="clear" w:color="auto" w:fill="FFFFFF"/>
              </w:rPr>
              <w:t>%</w:t>
            </w:r>
            <w:bookmarkStart w:id="10" w:name="杠杆水平"/>
            <w:bookmarkEnd w:id="10"/>
          </w:p>
        </w:tc>
      </w:tr>
      <w:tr w:rsidTr="00CA0B1A">
        <w:tblPrEx>
          <w:tblW w:w="5000" w:type="pct"/>
          <w:tblLook w:val="04A0"/>
        </w:tblPrEx>
        <w:tc>
          <w:tcPr>
            <w:tcW w:w="1742" w:type="pct"/>
            <w:shd w:val="clear" w:color="auto" w:fill="auto"/>
          </w:tcPr>
          <w:p w:rsidR="00A3418A" w:rsidP="00C841A7">
            <w:pPr>
              <w:rPr>
                <w:rFonts w:ascii="宋体" w:hAnsi="宋体"/>
                <w:kern w:val="0"/>
                <w:szCs w:val="21"/>
                <w:shd w:val="clear" w:color="auto" w:fill="FFFFFF"/>
              </w:rPr>
            </w:pPr>
            <w:r>
              <w:rPr>
                <w:rFonts w:ascii="宋体" w:hAnsi="宋体" w:hint="eastAsia"/>
                <w:color w:val="000000"/>
                <w:szCs w:val="21"/>
                <w:shd w:val="clear" w:color="auto" w:fill="FFFFFF"/>
              </w:rPr>
              <w:t>报告期末理财产品份额总额</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7,046,206,301.58</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color w:val="000000"/>
                <w:szCs w:val="21"/>
                <w:shd w:val="clear" w:color="auto" w:fill="FFFFFF"/>
              </w:rPr>
              <w:t>理财产品成立日</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2025年05月29日</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color w:val="000000"/>
                <w:szCs w:val="21"/>
                <w:shd w:val="clear" w:color="auto" w:fill="FFFFFF"/>
              </w:rPr>
              <w:t>理财产品计划到期日</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2055年05月29日（如遇非工作日/交易日顺延至下一工作日/交易日，具体以产品说明书为准，或在理财计划存续期内理财产品管理人根据本产品说明书约定事由宣布提前或延期终止本理财计划之日。）</w:t>
            </w:r>
          </w:p>
        </w:tc>
      </w:tr>
    </w:tbl>
    <w:p w:rsidR="00A3418A">
      <w:r w:rsidRPr="00E3035C">
        <w:rPr>
          <w:rFonts w:ascii="宋体" w:hAnsi="宋体" w:hint="eastAsia"/>
          <w:shd w:val="clear" w:color="auto" w:fill="FFFFFF"/>
        </w:rPr>
        <w:t>注：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w:t>
      </w:r>
    </w:p>
    <w:p w:rsidP="00F37D7D">
      <w:pPr>
        <w:pStyle w:val="Heading1"/>
        <w:spacing w:line="360" w:lineRule="auto"/>
        <w:jc w:val="center"/>
        <w:rPr>
          <w:rFonts w:ascii="宋体" w:hAnsi="宋体" w:hint="eastAsia"/>
          <w:sz w:val="24"/>
          <w:szCs w:val="24"/>
          <w:shd w:val="clear" w:color="auto" w:fill="FFFFFF"/>
        </w:rPr>
      </w:pPr>
      <w:bookmarkEnd w:id="6"/>
      <w:bookmarkEnd w:id="7"/>
      <w:bookmarkEnd w:id="8"/>
    </w:p>
    <w:p w:rsidR="00C873CF">
      <w:pPr>
        <w:pStyle w:val="Heading1"/>
        <w:spacing w:line="360" w:lineRule="auto"/>
        <w:jc w:val="center"/>
        <w:rPr>
          <w:rFonts w:ascii="宋体" w:hAnsi="宋体"/>
          <w:sz w:val="24"/>
          <w:szCs w:val="24"/>
          <w:shd w:val="clear" w:color="auto" w:fill="FFFFFF"/>
        </w:rPr>
      </w:pPr>
      <w:bookmarkStart w:id="11" w:name="_Toc256000005"/>
      <w:r>
        <w:rPr>
          <w:rFonts w:ascii="宋体" w:hAnsi="宋体" w:hint="eastAsia"/>
          <w:sz w:val="24"/>
          <w:szCs w:val="24"/>
          <w:shd w:val="clear" w:color="auto" w:fill="FFFFFF"/>
        </w:rPr>
        <w:t>§3 理财产品净值表现</w:t>
      </w:r>
      <w:bookmarkEnd w:id="11"/>
      <w:bookmarkStart w:id="12" w:name="_Toc193947511"/>
      <w:bookmarkStart w:id="13" w:name="_Toc12382920"/>
      <w:bookmarkStart w:id="14" w:name="_Toc194312018"/>
      <w:bookmarkEnd w:id="12"/>
      <w:bookmarkEnd w:id="13"/>
      <w:bookmarkEnd w:id="14"/>
    </w:p>
    <w:p w:rsidR="00C873CF">
      <w:pPr>
        <w:pStyle w:val="Heading2"/>
        <w:rPr>
          <w:sz w:val="24"/>
          <w:szCs w:val="24"/>
          <w:shd w:val="clear" w:color="auto" w:fill="FFFFFF"/>
        </w:rPr>
      </w:pPr>
      <w:bookmarkStart w:id="15" w:name="_Toc256000006"/>
      <w:r>
        <w:rPr>
          <w:rFonts w:hint="eastAsia"/>
          <w:sz w:val="24"/>
          <w:szCs w:val="24"/>
          <w:shd w:val="clear" w:color="auto" w:fill="FFFFFF"/>
        </w:rPr>
        <w:t>3.1 截至报告期末产品资产净值及份额净值</w:t>
      </w:r>
      <w:bookmarkEnd w:id="15"/>
    </w:p>
    <w:p w:rsidR="00C873CF">
      <w:pPr>
        <w:adjustRightInd w:val="0"/>
        <w:snapToGrid w:val="0"/>
        <w:ind w:firstLine="420" w:firstLineChars="200"/>
        <w:rPr>
          <w:rFonts w:ascii="宋体" w:hAnsi="宋体"/>
          <w:sz w:val="24"/>
          <w:shd w:val="clear" w:color="auto" w:fill="FFFFFF"/>
        </w:rPr>
      </w:pPr>
      <w:r>
        <w:rPr>
          <w:rFonts w:ascii="宋体" w:eastAsia="宋体" w:hAnsi="宋体" w:cs="宋体"/>
          <w:b w:val="0"/>
          <w:i w:val="0"/>
          <w:color w:val="000000"/>
          <w:position w:val="-1"/>
          <w:sz w:val="24"/>
          <w:u w:val="none"/>
        </w:rPr>
        <w:t>截至本报告期末，产品的资产净值为7,258,858,759.77元，产品份额净值为1.0302元，产品份额累计净值为1.0302元。</w:t>
      </w:r>
    </w:p>
    <w:p w:rsidR="00C873CF">
      <w:pPr>
        <w:rPr>
          <w:rFonts w:ascii="宋体" w:hAnsi="宋体"/>
          <w:szCs w:val="21"/>
          <w:shd w:val="clear" w:color="auto" w:fill="FFFFFF"/>
        </w:rPr>
      </w:pPr>
      <w:r>
        <w:rPr>
          <w:rFonts w:ascii="宋体" w:hAnsi="宋体" w:hint="eastAsia"/>
          <w:szCs w:val="21"/>
          <w:shd w:val="clear" w:color="auto" w:fill="FFFFFF"/>
        </w:rPr>
        <w:t>注：</w:t>
      </w:r>
      <w:r>
        <w:rPr>
          <w:rFonts w:ascii="宋体" w:hAnsi="宋体"/>
          <w:szCs w:val="21"/>
          <w:shd w:val="clear" w:color="auto" w:fill="FFFFFF"/>
        </w:rPr>
        <w:t>份额净值=资产净值/份额总额；份额累计净值=份额净值+产品成立后份额的累计分红金额。</w:t>
      </w:r>
    </w:p>
    <w:p w:rsidR="00C873CF">
      <w:pPr>
        <w:pStyle w:val="Heading2"/>
        <w:rPr>
          <w:sz w:val="24"/>
          <w:szCs w:val="24"/>
          <w:shd w:val="clear" w:color="auto" w:fill="FFFFFF"/>
        </w:rPr>
      </w:pPr>
      <w:bookmarkStart w:id="16" w:name="_Toc256000007"/>
      <w:r>
        <w:rPr>
          <w:rFonts w:hint="eastAsia"/>
          <w:sz w:val="24"/>
          <w:szCs w:val="24"/>
          <w:shd w:val="clear" w:color="auto" w:fill="FFFFFF"/>
        </w:rPr>
        <w:t>3.2 理财产品年化收益率</w:t>
      </w:r>
      <w:bookmarkEnd w:id="16"/>
    </w:p>
    <w:tbl>
      <w:tblPr>
        <w:tblpPr w:leftFromText="180" w:rightFromText="180" w:vertAnchor="text" w:horzAnchor="margin" w:tblpXSpec="center" w:tblpY="270"/>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1"/>
        <w:gridCol w:w="992"/>
        <w:gridCol w:w="993"/>
        <w:gridCol w:w="850"/>
        <w:gridCol w:w="851"/>
        <w:gridCol w:w="992"/>
        <w:gridCol w:w="992"/>
        <w:gridCol w:w="992"/>
        <w:gridCol w:w="1134"/>
      </w:tblGrid>
      <w:tr>
        <w:tblPrEx>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841"/>
          <w:jc w:val="center"/>
        </w:trPr>
        <w:tc>
          <w:tcPr>
            <w:tcW w:w="1271" w:type="dxa"/>
            <w:shd w:val="clear" w:color="auto" w:fill="BFBFBF"/>
            <w:vAlign w:val="center"/>
          </w:tcPr>
          <w:p w:rsidR="00C873C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阶段</w:t>
            </w:r>
          </w:p>
        </w:tc>
        <w:tc>
          <w:tcPr>
            <w:tcW w:w="992" w:type="dxa"/>
            <w:shd w:val="clear" w:color="auto" w:fill="BFBFBF"/>
            <w:vAlign w:val="center"/>
          </w:tcPr>
          <w:p w:rsidR="00C873C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近三个月</w:t>
            </w:r>
          </w:p>
        </w:tc>
        <w:tc>
          <w:tcPr>
            <w:tcW w:w="993" w:type="dxa"/>
            <w:shd w:val="clear" w:color="auto" w:fill="BFBFBF"/>
            <w:vAlign w:val="center"/>
          </w:tcPr>
          <w:p w:rsidR="00C873C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近六个月</w:t>
            </w:r>
          </w:p>
        </w:tc>
        <w:tc>
          <w:tcPr>
            <w:tcW w:w="850" w:type="dxa"/>
            <w:shd w:val="clear" w:color="auto" w:fill="BFBFBF"/>
            <w:vAlign w:val="center"/>
          </w:tcPr>
          <w:p w:rsidR="00C873CF">
            <w:pPr>
              <w:widowControl/>
              <w:jc w:val="center"/>
              <w:rPr>
                <w:rFonts w:ascii="宋体" w:hAnsi="宋体" w:cs="宋体"/>
                <w:b/>
                <w:szCs w:val="21"/>
              </w:rPr>
            </w:pPr>
            <w:r>
              <w:rPr>
                <w:rFonts w:ascii="宋体" w:hAnsi="宋体" w:cs="宋体" w:hint="eastAsia"/>
                <w:b/>
                <w:szCs w:val="21"/>
              </w:rPr>
              <w:t>近1个会计年度</w:t>
            </w:r>
          </w:p>
        </w:tc>
        <w:tc>
          <w:tcPr>
            <w:tcW w:w="851" w:type="dxa"/>
            <w:shd w:val="clear" w:color="auto" w:fill="BFBFBF"/>
            <w:vAlign w:val="center"/>
          </w:tcPr>
          <w:p w:rsidR="00C873CF">
            <w:pPr>
              <w:widowControl/>
              <w:jc w:val="center"/>
              <w:rPr>
                <w:rFonts w:ascii="宋体" w:hAnsi="宋体" w:cs="宋体"/>
                <w:b/>
                <w:szCs w:val="21"/>
              </w:rPr>
            </w:pPr>
            <w:r>
              <w:rPr>
                <w:rFonts w:ascii="宋体" w:hAnsi="宋体" w:cs="宋体" w:hint="eastAsia"/>
                <w:b/>
                <w:szCs w:val="21"/>
              </w:rPr>
              <w:t>近2个会计年度</w:t>
            </w:r>
          </w:p>
        </w:tc>
        <w:tc>
          <w:tcPr>
            <w:tcW w:w="992" w:type="dxa"/>
            <w:shd w:val="clear" w:color="auto" w:fill="BFBFBF"/>
            <w:vAlign w:val="center"/>
          </w:tcPr>
          <w:p w:rsidR="00C873C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近3个会计年度</w:t>
            </w:r>
          </w:p>
        </w:tc>
        <w:tc>
          <w:tcPr>
            <w:tcW w:w="992" w:type="dxa"/>
            <w:shd w:val="clear" w:color="auto" w:fill="BFBFBF"/>
            <w:vAlign w:val="center"/>
          </w:tcPr>
          <w:p w:rsidR="00C873CF">
            <w:pPr>
              <w:widowControl/>
              <w:jc w:val="center"/>
              <w:rPr>
                <w:rFonts w:ascii="宋体" w:hAnsi="宋体" w:cs="宋体"/>
                <w:b/>
                <w:szCs w:val="21"/>
              </w:rPr>
            </w:pPr>
            <w:r>
              <w:rPr>
                <w:rFonts w:ascii="宋体" w:hAnsi="宋体" w:cs="宋体" w:hint="eastAsia"/>
                <w:b/>
                <w:szCs w:val="21"/>
              </w:rPr>
              <w:t>近4个会计年度</w:t>
            </w:r>
          </w:p>
        </w:tc>
        <w:tc>
          <w:tcPr>
            <w:tcW w:w="992" w:type="dxa"/>
            <w:shd w:val="clear" w:color="auto" w:fill="BFBFBF"/>
            <w:vAlign w:val="center"/>
          </w:tcPr>
          <w:p w:rsidR="00C873C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近5个会计年度</w:t>
            </w:r>
          </w:p>
        </w:tc>
        <w:tc>
          <w:tcPr>
            <w:tcW w:w="1134" w:type="dxa"/>
            <w:shd w:val="clear" w:color="auto" w:fill="BFBFBF"/>
            <w:vAlign w:val="center"/>
          </w:tcPr>
          <w:p w:rsidR="00C873C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成立至今</w:t>
            </w:r>
          </w:p>
        </w:tc>
      </w:tr>
      <w:tr>
        <w:tblPrEx>
          <w:tblW w:w="9067" w:type="dxa"/>
          <w:jc w:val="center"/>
          <w:tblLayout w:type="fixed"/>
          <w:tblLook w:val="04A0"/>
        </w:tblPrEx>
        <w:trPr>
          <w:trHeight w:val="892"/>
          <w:jc w:val="center"/>
        </w:trPr>
        <w:tc>
          <w:tcPr>
            <w:tcW w:w="1271"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hAnsi="宋体" w:hint="eastAsia"/>
                <w:szCs w:val="21"/>
                <w:shd w:val="clear" w:color="auto" w:fill="FFFFFF"/>
              </w:rPr>
              <w:t>年化</w:t>
            </w:r>
            <w:r>
              <w:rPr>
                <w:rFonts w:ascii="宋体" w:hAnsi="宋体"/>
                <w:szCs w:val="21"/>
                <w:shd w:val="clear" w:color="auto" w:fill="FFFFFF"/>
              </w:rPr>
              <w:t>收益率</w:t>
            </w:r>
          </w:p>
        </w:tc>
        <w:tc>
          <w:tcPr>
            <w:tcW w:w="992"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1.37%</w:t>
            </w:r>
          </w:p>
        </w:tc>
        <w:tc>
          <w:tcPr>
            <w:tcW w:w="993"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1.88%</w:t>
            </w:r>
          </w:p>
        </w:tc>
        <w:tc>
          <w:tcPr>
            <w:tcW w:w="850"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851"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1134"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2.78%</w:t>
            </w:r>
          </w:p>
        </w:tc>
      </w:tr>
    </w:tbl>
    <w:p w:rsidR="00C873CF">
      <w:r>
        <w:rPr>
          <w:rFonts w:hint="eastAsia"/>
        </w:rPr>
        <w:t>注：</w:t>
      </w:r>
    </w:p>
    <w:p w:rsidR="00C873CF">
      <w:pPr>
        <w:rPr>
          <w:rFonts w:ascii="宋体" w:hAnsi="宋体" w:cs="宋体"/>
        </w:rPr>
      </w:pPr>
      <w:r>
        <w:rPr>
          <w:rFonts w:ascii="宋体" w:hAnsi="宋体" w:cs="宋体" w:hint="eastAsia"/>
        </w:rPr>
        <w:t>1.本理财产品成立于</w:t>
      </w:r>
      <w:r>
        <w:rPr>
          <w:rFonts w:ascii="宋体" w:eastAsia="宋体" w:hAnsi="宋体" w:cs="宋体"/>
          <w:b w:val="0"/>
          <w:i w:val="0"/>
          <w:color w:val="000000"/>
          <w:position w:val="-1"/>
          <w:u w:val="none"/>
        </w:rPr>
        <w:t>2025年05月29日</w:t>
      </w:r>
      <w:r>
        <w:rPr>
          <w:rFonts w:ascii="宋体" w:hAnsi="宋体" w:cs="宋体" w:hint="eastAsia"/>
        </w:rPr>
        <w:t>，数据截至</w:t>
      </w:r>
      <w:r>
        <w:rPr>
          <w:rFonts w:ascii="宋体" w:eastAsia="宋体" w:hAnsi="宋体" w:cs="宋体"/>
          <w:b w:val="0"/>
          <w:i w:val="0"/>
          <w:color w:val="000000"/>
          <w:position w:val="-1"/>
          <w:u w:val="none"/>
        </w:rPr>
        <w:t>2026年06月30日</w:t>
      </w:r>
      <w:r>
        <w:rPr>
          <w:rFonts w:ascii="宋体" w:hAnsi="宋体" w:cs="宋体" w:hint="eastAsia"/>
        </w:rPr>
        <w:t>。本理财产品过往业绩由管理人招银理财有限责任公司基于理财产品净值，参照有关法律法规及理财行业通行规则制定的计算规则计算，过往业绩相关净值数据已经理财产品托管人复核。</w:t>
      </w:r>
      <w:r>
        <w:rPr>
          <w:rFonts w:ascii="宋体" w:hAnsi="宋体" w:cs="宋体" w:hint="eastAsia"/>
          <w:b/>
          <w:bCs/>
        </w:rPr>
        <w:t>理财产品过往业绩不代表其未来表现，不等于理财产品实际收益，投资须谨慎。</w:t>
      </w:r>
    </w:p>
    <w:p w:rsidR="00C873CF">
      <w:pPr>
        <w:rPr>
          <w:rFonts w:ascii="宋体" w:hAnsi="宋体" w:cs="宋体"/>
          <w:szCs w:val="21"/>
          <w:shd w:val="clear" w:color="auto" w:fill="FFFFFF"/>
        </w:rPr>
      </w:pPr>
      <w:r>
        <w:rPr>
          <w:rFonts w:ascii="宋体" w:hAnsi="宋体" w:cs="宋体" w:hint="eastAsia"/>
          <w:szCs w:val="21"/>
          <w:shd w:val="clear" w:color="auto" w:fill="FFFFFF"/>
        </w:rPr>
        <w:t>2.如为报净值的产品，则年化收益率指该产品对应区间内的区间年化收益率，赎回成本未计入，并非最终持有到期的收益率。</w:t>
      </w:r>
    </w:p>
    <w:p w:rsidR="00C873CF">
      <w:pPr>
        <w:rPr>
          <w:rFonts w:ascii="宋体" w:hAnsi="宋体" w:cs="宋体"/>
          <w:szCs w:val="21"/>
          <w:shd w:val="clear" w:color="auto" w:fill="FFFFFF"/>
        </w:rPr>
      </w:pPr>
      <w:r>
        <w:rPr>
          <w:rFonts w:ascii="宋体" w:hAnsi="宋体" w:cs="宋体" w:hint="eastAsia"/>
          <w:szCs w:val="21"/>
          <w:shd w:val="clear" w:color="auto" w:fill="FFFFFF"/>
        </w:rPr>
        <w:t>近N个月年化收益率（非现金产品）</w:t>
      </w:r>
    </w:p>
    <w:p w:rsidR="00C873CF">
      <w:pPr>
        <w:rPr>
          <w:rFonts w:hAnsi="Cambria Math"/>
          <w:sz w:val="24"/>
        </w:rPr>
      </w:pPr>
      <w:r>
        <w:rPr>
          <w:rFonts w:ascii="宋体" w:hint="eastAsia"/>
          <w:sz w:val="24"/>
        </w:rPr>
        <w:t>=</w:t>
      </w:r>
      <m:oMath>
        <m:f>
          <m:fPr>
            <m:ctrlPr>
              <w:rPr>
                <w:rFonts w:ascii="Cambria Math" w:hAnsi="Cambria Math" w:hint="eastAsia"/>
                <w:sz w:val="24"/>
              </w:rPr>
            </m:ctrlPr>
          </m:fPr>
          <m:num>
            <m:sSub>
              <m:sSubPr>
                <m:ctrlPr>
                  <w:rPr>
                    <w:rFonts w:ascii="Cambria Math" w:hAnsi="Cambria Math"/>
                    <w:sz w:val="24"/>
                  </w:rPr>
                </m:ctrlPr>
              </m:sSubPr>
              <m:e>
                <m:r>
                  <m:rPr>
                    <m:sty m:val="p"/>
                  </m:rPr>
                  <w:rPr>
                    <w:rFonts w:ascii="Cambria Math" w:hAnsi="Cambria Math" w:hint="eastAsia"/>
                    <w:sz w:val="24"/>
                  </w:rPr>
                  <m:t>最新的产品累计单位净值</m:t>
                </m:r>
              </m:e>
              <m:sub>
                <m:r>
                  <m:rPr>
                    <m:sty m:val="p"/>
                  </m:rPr>
                  <w:rPr>
                    <w:rFonts w:ascii="Cambria Math" w:hAnsi="Cambria Math"/>
                    <w:sz w:val="24"/>
                  </w:rPr>
                  <m:t>t1</m:t>
                </m:r>
              </m:sub>
            </m:sSub>
            <m:r>
              <m:rPr>
                <m:sty m:val="p"/>
              </m:rPr>
              <w:rPr>
                <w:rFonts w:ascii="Cambria Math" w:hAnsi="Cambria Math"/>
                <w:sz w:val="24"/>
              </w:rPr>
              <m:t>-</m:t>
            </m:r>
            <m:sSub>
              <m:sSubPr>
                <m:ctrlPr>
                  <w:rPr>
                    <w:rFonts w:ascii="Cambria Math" w:hAnsi="Cambria Math"/>
                    <w:sz w:val="24"/>
                  </w:rPr>
                </m:ctrlPr>
              </m:sSubPr>
              <m:e>
                <m:r>
                  <m:rPr>
                    <m:sty m:val="p"/>
                  </m:rPr>
                  <w:rPr>
                    <w:rFonts w:ascii="Cambria Math" w:hAnsi="Cambria Math"/>
                    <w:sz w:val="24"/>
                  </w:rPr>
                  <m:t>N</m:t>
                </m:r>
                <m:r>
                  <m:rPr>
                    <m:sty m:val="p"/>
                  </m:rPr>
                  <w:rPr>
                    <w:rFonts w:ascii="Cambria Math" w:hAnsi="Cambria Math" w:hint="eastAsia"/>
                    <w:sz w:val="24"/>
                  </w:rPr>
                  <m:t>月前对日的产品累计单位净值</m:t>
                </m:r>
              </m:e>
              <m:sub>
                <m:r>
                  <m:rPr>
                    <m:sty m:val="p"/>
                  </m:rPr>
                  <w:rPr>
                    <w:rFonts w:ascii="Cambria Math" w:hAnsi="Cambria Math"/>
                    <w:sz w:val="24"/>
                  </w:rPr>
                  <m:t>t2</m:t>
                </m:r>
              </m:sub>
            </m:sSub>
          </m:num>
          <m:den>
            <m:sSub>
              <m:sSubPr>
                <m:ctrlPr>
                  <w:rPr>
                    <w:rFonts w:ascii="Cambria Math" w:hAnsi="Cambria Math"/>
                    <w:sz w:val="24"/>
                  </w:rPr>
                </m:ctrlPr>
              </m:sSubPr>
              <m:e>
                <m:r>
                  <m:rPr>
                    <m:sty m:val="p"/>
                  </m:rPr>
                  <w:rPr>
                    <w:rFonts w:ascii="Cambria Math" w:hAnsi="Cambria Math"/>
                    <w:sz w:val="24"/>
                  </w:rPr>
                  <m:t>N</m:t>
                </m:r>
                <m:r>
                  <m:rPr>
                    <m:sty m:val="p"/>
                  </m:rPr>
                  <w:rPr>
                    <w:rFonts w:ascii="Cambria Math" w:hAnsi="Cambria Math" w:hint="eastAsia"/>
                    <w:sz w:val="24"/>
                  </w:rPr>
                  <m:t>月前对日的产品单位净值</m:t>
                </m:r>
              </m:e>
              <m:sub>
                <m:r>
                  <m:rPr>
                    <m:sty m:val="p"/>
                  </m:rPr>
                  <w:rPr>
                    <w:rFonts w:ascii="Cambria Math" w:hAnsi="Cambria Math"/>
                    <w:sz w:val="24"/>
                  </w:rPr>
                  <m:t>t2</m:t>
                </m:r>
              </m:sub>
            </m:sSub>
          </m:den>
        </m:f>
        <m:r>
          <m:rPr>
            <m:sty m:val="p"/>
          </m:rPr>
          <w:rPr>
            <w:rFonts w:ascii="Cambria Math" w:hAnsi="Cambria Math" w:cs="Cambria"/>
            <w:sz w:val="24"/>
          </w:rPr>
          <m:t>*</m:t>
        </m:r>
        <m:f>
          <m:fPr>
            <m:ctrlPr>
              <w:rPr>
                <w:rFonts w:ascii="Cambria Math" w:hAnsi="Cambria Math" w:hint="eastAsia"/>
                <w:sz w:val="24"/>
              </w:rPr>
            </m:ctrlPr>
          </m:fPr>
          <m:num>
            <m:r>
              <m:rPr>
                <m:sty m:val="p"/>
              </m:rPr>
              <w:rPr>
                <w:rFonts w:ascii="Cambria Math" w:hAnsi="Cambria Math" w:hint="eastAsia"/>
                <w:sz w:val="24"/>
              </w:rPr>
              <m:t>365</m:t>
            </m:r>
          </m:num>
          <m:den>
            <m:r>
              <m:rPr>
                <m:sty m:val="p"/>
              </m:rPr>
              <w:rPr>
                <w:rFonts w:ascii="Cambria Math" w:hAnsi="Cambria Math"/>
                <w:sz w:val="24"/>
              </w:rPr>
              <m:t>t1-t2</m:t>
            </m:r>
          </m:den>
        </m:f>
        <m:r>
          <m:rPr>
            <m:sty m:val="p"/>
          </m:rPr>
          <w:rPr>
            <w:rFonts w:ascii="Cambria Math" w:hAnsi="Cambria Math" w:cs="Cambria"/>
            <w:sz w:val="24"/>
          </w:rPr>
          <m:t>*</m:t>
        </m:r>
        <m:r>
          <m:rPr>
            <m:sty m:val="p"/>
          </m:rPr>
          <w:rPr>
            <w:rFonts w:ascii="Cambria Math" w:hAnsi="Cambria Math" w:hint="eastAsia"/>
            <w:sz w:val="24"/>
          </w:rPr>
          <m:t>100%</m:t>
        </m:r>
      </m:oMath>
    </w:p>
    <w:p w:rsidR="00C873CF">
      <w:pPr>
        <w:rPr>
          <w:rFonts w:hAnsi="Cambria Math"/>
          <w:sz w:val="24"/>
        </w:rPr>
      </w:pPr>
      <w:r>
        <w:rPr>
          <w:rFonts w:ascii="宋体" w:hAnsi="宋体" w:cs="宋体" w:hint="eastAsia"/>
          <w:szCs w:val="21"/>
          <w:shd w:val="clear" w:color="auto" w:fill="FFFFFF"/>
        </w:rPr>
        <w:t>t1为区间最后一个自然日，t2为N月前的最后一个自然日。</w:t>
      </w:r>
    </w:p>
    <w:p w:rsidR="00C873CF">
      <w:pPr>
        <w:pStyle w:val="ccb"/>
        <w:ind w:firstLine="0" w:firstLineChars="0"/>
        <w:jc w:val="left"/>
        <w:rPr>
          <w:rFonts w:ascii="宋体" w:eastAsia="宋体"/>
          <w:color w:val="auto"/>
          <w:sz w:val="21"/>
          <w:szCs w:val="21"/>
          <w:shd w:val="clear" w:color="auto" w:fill="FFFFFF"/>
        </w:rPr>
      </w:pPr>
      <w:r>
        <w:rPr>
          <w:rFonts w:ascii="宋体" w:eastAsia="宋体" w:hint="eastAsia"/>
          <w:color w:val="auto"/>
          <w:sz w:val="21"/>
          <w:szCs w:val="21"/>
          <w:shd w:val="clear" w:color="auto" w:fill="FFFFFF"/>
        </w:rPr>
        <w:t>近N个会计年度年化收益率（非现金产品）</w:t>
      </w:r>
    </w:p>
    <w:p w:rsidR="00C873CF">
      <w:pPr>
        <w:rPr>
          <w:sz w:val="24"/>
          <w:szCs w:val="24"/>
        </w:rPr>
      </w:pPr>
      <w:r>
        <w:rPr>
          <w:rFonts w:ascii="宋体" w:hint="eastAsia"/>
        </w:rPr>
        <w:t>=</w:t>
      </w:r>
      <m:oMath>
        <m:f>
          <m:fPr>
            <m:ctrlPr>
              <w:rPr>
                <w:rFonts w:ascii="Cambria Math" w:hAnsi="Cambria Math" w:hint="eastAsia"/>
                <w:sz w:val="24"/>
                <w:szCs w:val="24"/>
              </w:rPr>
            </m:ctrlPr>
          </m:fPr>
          <m:num>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12</m:t>
                </m:r>
                <m:r>
                  <m:rPr>
                    <m:sty m:val="p"/>
                  </m:rPr>
                  <w:rPr>
                    <w:rFonts w:ascii="Cambria Math" w:hAnsi="Cambria Math" w:hint="eastAsia"/>
                    <w:sz w:val="24"/>
                    <w:szCs w:val="24"/>
                  </w:rPr>
                  <m:t>月</m:t>
                </m:r>
                <m:r>
                  <m:rPr>
                    <m:sty m:val="p"/>
                  </m:rPr>
                  <w:rPr>
                    <w:rFonts w:ascii="Cambria Math" w:hAnsi="Cambria Math"/>
                    <w:sz w:val="24"/>
                    <w:szCs w:val="24"/>
                  </w:rPr>
                  <m:t>31</m:t>
                </m:r>
                <m:r>
                  <m:rPr>
                    <m:sty m:val="p"/>
                  </m:rPr>
                  <w:rPr>
                    <w:rFonts w:ascii="Cambria Math" w:hAnsi="Cambria Math" w:hint="eastAsia"/>
                    <w:sz w:val="24"/>
                    <w:szCs w:val="24"/>
                  </w:rPr>
                  <m:t>日产品累计单位净值</m:t>
                </m:r>
              </m:e>
              <m:sub>
                <m:r>
                  <m:rPr>
                    <m:sty m:val="p"/>
                  </m:rPr>
                  <w:rPr>
                    <w:rFonts w:ascii="Cambria Math" w:hAnsi="Cambria Math"/>
                    <w:sz w:val="24"/>
                    <w:szCs w:val="24"/>
                  </w:rPr>
                  <m:t>t1</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m:t>
                </m:r>
                <m:r>
                  <m:rPr>
                    <m:sty m:val="p"/>
                  </m:rPr>
                  <w:rPr>
                    <w:rFonts w:ascii="Cambria Math" w:hAnsi="Cambria Math" w:hint="eastAsia"/>
                    <w:sz w:val="24"/>
                    <w:szCs w:val="24"/>
                  </w:rPr>
                  <m:t>月</m:t>
                </m:r>
                <m:r>
                  <m:rPr>
                    <m:sty m:val="p"/>
                  </m:rPr>
                  <w:rPr>
                    <w:rFonts w:ascii="Cambria Math" w:hAnsi="Cambria Math"/>
                    <w:sz w:val="24"/>
                    <w:szCs w:val="24"/>
                  </w:rPr>
                  <m:t>1</m:t>
                </m:r>
                <m:r>
                  <m:rPr>
                    <m:sty m:val="p"/>
                  </m:rPr>
                  <w:rPr>
                    <w:rFonts w:ascii="Cambria Math" w:hAnsi="Cambria Math" w:hint="eastAsia"/>
                    <w:sz w:val="24"/>
                    <w:szCs w:val="24"/>
                  </w:rPr>
                  <m:t>日产品累计单位净值</m:t>
                </m:r>
              </m:e>
              <m:sub>
                <m:r>
                  <m:rPr>
                    <m:sty m:val="p"/>
                  </m:rPr>
                  <w:rPr>
                    <w:rFonts w:ascii="Cambria Math" w:hAnsi="Cambria Math"/>
                    <w:sz w:val="24"/>
                    <w:szCs w:val="24"/>
                  </w:rPr>
                  <m:t>t2</m:t>
                </m:r>
              </m:sub>
            </m:sSub>
          </m:num>
          <m:den>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m:t>
                </m:r>
                <m:r>
                  <m:rPr>
                    <m:sty m:val="p"/>
                  </m:rPr>
                  <w:rPr>
                    <w:rFonts w:ascii="Cambria Math" w:hAnsi="Cambria Math" w:hint="eastAsia"/>
                    <w:sz w:val="24"/>
                    <w:szCs w:val="24"/>
                  </w:rPr>
                  <m:t>月</m:t>
                </m:r>
                <m:r>
                  <m:rPr>
                    <m:sty m:val="p"/>
                  </m:rPr>
                  <w:rPr>
                    <w:rFonts w:ascii="Cambria Math" w:hAnsi="Cambria Math"/>
                    <w:sz w:val="24"/>
                    <w:szCs w:val="24"/>
                  </w:rPr>
                  <m:t>1</m:t>
                </m:r>
                <m:r>
                  <m:rPr>
                    <m:sty m:val="p"/>
                  </m:rPr>
                  <w:rPr>
                    <w:rFonts w:ascii="Cambria Math" w:hAnsi="Cambria Math" w:hint="eastAsia"/>
                    <w:sz w:val="24"/>
                    <w:szCs w:val="24"/>
                  </w:rPr>
                  <m:t>日产品单位净值</m:t>
                </m:r>
              </m:e>
              <m:sub>
                <m:r>
                  <m:rPr>
                    <m:sty m:val="p"/>
                  </m:rPr>
                  <w:rPr>
                    <w:rFonts w:ascii="Cambria Math" w:hAnsi="Cambria Math"/>
                    <w:sz w:val="24"/>
                    <w:szCs w:val="24"/>
                  </w:rPr>
                  <m:t>t2</m:t>
                </m:r>
              </m:sub>
            </m:sSub>
          </m:den>
        </m:f>
        <m:r>
          <m:rPr>
            <m:sty m:val="p"/>
          </m:rPr>
          <w:rPr>
            <w:rFonts w:ascii="Cambria Math" w:hAnsi="Cambria Math" w:cs="Cambria"/>
            <w:sz w:val="24"/>
            <w:szCs w:val="24"/>
          </w:rPr>
          <m:t>*</m:t>
        </m:r>
        <m:f>
          <m:fPr>
            <m:ctrlPr>
              <w:rPr>
                <w:rFonts w:ascii="Cambria Math" w:hAnsi="Cambria Math" w:hint="eastAsia"/>
                <w:sz w:val="24"/>
                <w:szCs w:val="24"/>
              </w:rPr>
            </m:ctrlPr>
          </m:fPr>
          <m:num>
            <m:r>
              <m:rPr>
                <m:sty m:val="p"/>
              </m:rPr>
              <w:rPr>
                <w:rFonts w:ascii="Cambria Math" w:hAnsi="Cambria Math" w:hint="eastAsia"/>
                <w:sz w:val="24"/>
                <w:szCs w:val="24"/>
              </w:rPr>
              <m:t>365</m:t>
            </m:r>
          </m:num>
          <m:den>
            <m:r>
              <m:rPr>
                <m:sty m:val="p"/>
              </m:rPr>
              <w:rPr>
                <w:rFonts w:ascii="Cambria Math" w:hAnsi="Cambria Math"/>
                <w:sz w:val="24"/>
                <w:szCs w:val="24"/>
              </w:rPr>
              <m:t>N</m:t>
            </m:r>
          </m:den>
        </m:f>
        <m:r>
          <m:rPr>
            <m:sty m:val="p"/>
          </m:rPr>
          <w:rPr>
            <w:rFonts w:ascii="Cambria Math" w:hAnsi="Cambria Math" w:cs="Cambria"/>
            <w:sz w:val="24"/>
            <w:szCs w:val="24"/>
          </w:rPr>
          <m:t>*</m:t>
        </m:r>
        <m:r>
          <m:rPr>
            <m:sty m:val="p"/>
          </m:rPr>
          <w:rPr>
            <w:rFonts w:ascii="Cambria Math" w:hAnsi="Cambria Math" w:hint="eastAsia"/>
            <w:sz w:val="24"/>
            <w:szCs w:val="24"/>
          </w:rPr>
          <m:t>100%</m:t>
        </m:r>
      </m:oMath>
    </w:p>
    <w:p w:rsidR="00C873CF">
      <w:pPr>
        <w:rPr>
          <w:rFonts w:ascii="宋体" w:hAnsi="宋体" w:cs="宋体"/>
          <w:szCs w:val="21"/>
          <w:shd w:val="clear" w:color="auto" w:fill="FFFFFF"/>
        </w:rPr>
      </w:pPr>
      <w:r>
        <w:rPr>
          <w:rFonts w:ascii="宋体" w:hAnsi="宋体" w:cs="宋体" w:hint="eastAsia"/>
          <w:szCs w:val="21"/>
          <w:shd w:val="clear" w:color="auto" w:fill="FFFFFF"/>
        </w:rPr>
        <w:t>t1为XX年12月31日，t2为XX年1月1日，N为XX年1月1日到XX年12月31日的自然天数。</w:t>
      </w:r>
    </w:p>
    <w:p w:rsidR="00C873CF">
      <w:pPr>
        <w:pStyle w:val="ccb"/>
        <w:ind w:firstLine="0" w:firstLineChars="0"/>
        <w:jc w:val="left"/>
        <w:rPr>
          <w:rFonts w:ascii="宋体" w:eastAsia="宋体"/>
          <w:color w:val="auto"/>
          <w:sz w:val="21"/>
          <w:szCs w:val="21"/>
          <w:shd w:val="clear" w:color="auto" w:fill="FFFFFF"/>
        </w:rPr>
      </w:pPr>
      <w:r>
        <w:rPr>
          <w:rFonts w:ascii="宋体" w:eastAsia="宋体" w:hint="eastAsia"/>
          <w:color w:val="auto"/>
          <w:sz w:val="21"/>
          <w:szCs w:val="21"/>
          <w:shd w:val="clear" w:color="auto" w:fill="FFFFFF"/>
        </w:rPr>
        <w:t>成立至今年化收益率（非现金产品）</w:t>
      </w:r>
    </w:p>
    <w:p w:rsidR="00C873CF">
      <w:pPr>
        <w:tabs>
          <w:tab w:val="left" w:pos="1260"/>
        </w:tabs>
        <w:spacing w:line="360" w:lineRule="auto"/>
        <w:rPr>
          <w:rFonts w:hAnsi="Cambria Math"/>
          <w:sz w:val="24"/>
        </w:rPr>
      </w:pPr>
      <w:r>
        <w:rPr>
          <w:rFonts w:ascii="宋体" w:hAnsi="宋体" w:hint="eastAsia"/>
          <w:sz w:val="24"/>
        </w:rPr>
        <w:t>=</w:t>
      </w:r>
      <m:oMath>
        <m:f>
          <m:fPr>
            <m:ctrlPr>
              <w:rPr>
                <w:rFonts w:ascii="Cambria Math" w:hAnsi="Cambria Math" w:hint="eastAsia"/>
                <w:sz w:val="24"/>
              </w:rPr>
            </m:ctrlPr>
          </m:fPr>
          <m:num>
            <m:sSub>
              <m:sSubPr>
                <m:ctrlPr>
                  <w:rPr>
                    <w:rFonts w:ascii="Cambria Math" w:hAnsi="Cambria Math" w:hint="eastAsia"/>
                    <w:sz w:val="24"/>
                  </w:rPr>
                </m:ctrlPr>
              </m:sSubPr>
              <m:e>
                <m:r>
                  <m:rPr>
                    <m:sty m:val="p"/>
                  </m:rPr>
                  <w:rPr>
                    <w:rFonts w:ascii="Cambria Math" w:hAnsi="Cambria Math" w:hint="eastAsia"/>
                    <w:sz w:val="24"/>
                  </w:rPr>
                  <m:t>最新的产品累计单位净值</m:t>
                </m:r>
              </m:e>
              <m:sub>
                <m:r>
                  <m:rPr>
                    <m:sty m:val="p"/>
                  </m:rPr>
                  <w:rPr>
                    <w:rFonts w:ascii="Cambria Math" w:hAnsi="Cambria Math"/>
                    <w:sz w:val="24"/>
                  </w:rPr>
                  <m:t>t</m:t>
                </m:r>
              </m:sub>
            </m:sSub>
            <m:r>
              <m:rPr>
                <m:sty m:val="p"/>
              </m:rPr>
              <w:rPr>
                <w:rFonts w:ascii="Cambria Math" w:hAnsi="Cambria Math"/>
                <w:sz w:val="24"/>
              </w:rPr>
              <m:t>-</m:t>
            </m:r>
            <m:r>
              <w:rPr>
                <w:rFonts w:ascii="Cambria Math" w:hAnsi="Cambria Math"/>
                <w:sz w:val="24"/>
              </w:rPr>
              <m:t>1</m:t>
            </m:r>
          </m:num>
          <m:den>
            <m:r>
              <m:rPr>
                <m:sty m:val="p"/>
              </m:rPr>
              <w:rPr>
                <w:rFonts w:ascii="Cambria Math" w:hAnsi="Cambria Math"/>
                <w:sz w:val="24"/>
              </w:rPr>
              <m:t>1</m:t>
            </m:r>
          </m:den>
        </m:f>
        <m:r>
          <m:rPr>
            <m:sty m:val="p"/>
          </m:rPr>
          <w:rPr>
            <w:rFonts w:ascii="Cambria Math" w:hAnsi="Cambria Math" w:cs="Cambria"/>
            <w:sz w:val="24"/>
          </w:rPr>
          <m:t>*</m:t>
        </m:r>
        <m:f>
          <m:fPr>
            <m:ctrlPr>
              <w:rPr>
                <w:rFonts w:ascii="Cambria Math" w:hAnsi="Cambria Math" w:hint="eastAsia"/>
                <w:sz w:val="24"/>
              </w:rPr>
            </m:ctrlPr>
          </m:fPr>
          <m:num>
            <m:r>
              <m:rPr>
                <m:sty m:val="p"/>
              </m:rPr>
              <w:rPr>
                <w:rFonts w:ascii="Cambria Math" w:hAnsi="Cambria Math" w:hint="eastAsia"/>
                <w:sz w:val="24"/>
              </w:rPr>
              <m:t>365</m:t>
            </m:r>
          </m:num>
          <m:den>
            <m:r>
              <m:rPr>
                <m:sty m:val="p"/>
              </m:rPr>
              <w:rPr>
                <w:rFonts w:ascii="Cambria Math" w:hAnsi="Cambria Math"/>
                <w:sz w:val="24"/>
              </w:rPr>
              <m:t>t-</m:t>
            </m:r>
            <m:r>
              <m:rPr>
                <m:sty m:val="p"/>
              </m:rPr>
              <w:rPr>
                <w:rFonts w:ascii="Cambria Math" w:hAnsi="Cambria Math" w:hint="eastAsia"/>
                <w:sz w:val="24"/>
              </w:rPr>
              <m:t>成立日期</m:t>
            </m:r>
          </m:den>
        </m:f>
        <m:r>
          <m:rPr>
            <m:sty m:val="p"/>
          </m:rPr>
          <w:rPr>
            <w:rFonts w:ascii="Cambria Math" w:hAnsi="Cambria Math" w:cs="Cambria"/>
            <w:sz w:val="24"/>
          </w:rPr>
          <m:t>*</m:t>
        </m:r>
        <m:r>
          <m:rPr>
            <m:sty m:val="p"/>
          </m:rPr>
          <w:rPr>
            <w:rFonts w:ascii="Cambria Math" w:hAnsi="Cambria Math" w:hint="eastAsia"/>
            <w:sz w:val="24"/>
          </w:rPr>
          <m:t>100%</m:t>
        </m:r>
      </m:oMath>
    </w:p>
    <w:p w:rsidR="00C873CF">
      <w:pPr>
        <w:rPr>
          <w:rFonts w:ascii="宋体" w:hAnsi="宋体"/>
          <w:szCs w:val="21"/>
          <w:shd w:val="clear" w:color="auto" w:fill="FFFFFF"/>
        </w:rPr>
      </w:pPr>
      <w:r>
        <w:rPr>
          <w:rFonts w:ascii="宋体" w:hAnsi="宋体" w:cs="宋体" w:hint="eastAsia"/>
          <w:szCs w:val="21"/>
          <w:shd w:val="clear" w:color="auto" w:fill="FFFFFF"/>
        </w:rPr>
        <w:t>t为区间最后一个自然日，理财产品成立日净值按照理财产品认购净值1.0000计算。</w:t>
      </w:r>
    </w:p>
    <w:p w:rsidR="00C873CF">
      <w:pPr>
        <w:pStyle w:val="Heading1"/>
        <w:spacing w:line="360" w:lineRule="auto"/>
        <w:jc w:val="center"/>
        <w:rPr>
          <w:rFonts w:ascii="宋体" w:hAnsi="宋体"/>
          <w:sz w:val="24"/>
          <w:szCs w:val="24"/>
          <w:shd w:val="clear" w:color="auto" w:fill="FFFFFF"/>
        </w:rPr>
      </w:pPr>
      <w:bookmarkStart w:id="17" w:name="_Toc256000008"/>
      <w:r>
        <w:rPr>
          <w:rFonts w:ascii="宋体" w:hAnsi="宋体" w:hint="eastAsia"/>
          <w:sz w:val="24"/>
          <w:szCs w:val="24"/>
          <w:shd w:val="clear" w:color="auto" w:fill="FFFFFF"/>
        </w:rPr>
        <w:t>§4 管理人报告</w:t>
      </w:r>
      <w:bookmarkEnd w:id="17"/>
      <w:bookmarkStart w:id="18" w:name="_Toc12382923"/>
      <w:bookmarkEnd w:id="18"/>
    </w:p>
    <w:p w:rsidR="00C873CF">
      <w:pPr>
        <w:pStyle w:val="Heading2"/>
        <w:rPr>
          <w:sz w:val="24"/>
          <w:szCs w:val="24"/>
          <w:shd w:val="clear" w:color="auto" w:fill="FFFFFF"/>
        </w:rPr>
      </w:pPr>
      <w:bookmarkStart w:id="19" w:name="_Toc256000009"/>
      <w:r>
        <w:rPr>
          <w:rFonts w:hint="eastAsia"/>
          <w:sz w:val="24"/>
          <w:szCs w:val="24"/>
          <w:shd w:val="clear" w:color="auto" w:fill="FFFFFF"/>
        </w:rPr>
        <w:t>4.1 管理人对报告期内理财产品的投资策略说明</w:t>
      </w:r>
      <w:bookmarkEnd w:id="19"/>
    </w:p>
    <w:p w:rsidR="00C873CF">
      <w:pPr>
        <w:pStyle w:val="Heading3"/>
        <w:rPr>
          <w:sz w:val="24"/>
          <w:szCs w:val="24"/>
          <w:shd w:val="clear" w:color="auto" w:fill="FFFFFF"/>
        </w:rPr>
      </w:pPr>
      <w:r>
        <w:rPr>
          <w:rFonts w:hint="eastAsia"/>
          <w:sz w:val="24"/>
          <w:szCs w:val="24"/>
          <w:shd w:val="clear" w:color="auto" w:fill="FFFFFF"/>
        </w:rPr>
        <w:t>4.1.1 报告期内理财产品投资策略和运作分析</w:t>
      </w:r>
    </w:p>
    <w:p w:rsidR="00C873CF">
      <w:pPr>
        <w:ind w:firstLine="420" w:firstLineChars="200"/>
        <w:rPr>
          <w:rFonts w:ascii="宋体" w:hAnsi="宋体"/>
          <w:sz w:val="24"/>
          <w:szCs w:val="24"/>
          <w:shd w:val="clear" w:color="auto" w:fill="FFFFFF"/>
        </w:rPr>
      </w:pPr>
      <w:bookmarkStart w:id="20" w:name="运作分析"/>
      <w:r>
        <w:rPr>
          <w:rFonts w:ascii="宋体" w:hAnsi="宋体"/>
          <w:sz w:val="24"/>
          <w:szCs w:val="24"/>
          <w:shd w:val="clear" w:color="auto" w:fill="FFFFFF"/>
        </w:rPr>
        <w:t>2026年上半年，债市整体呈现小幅震荡、曲线走陡格局，短端表现整体强于长端、信用表现整体强于利率。1月，权益慢牛行情叠加政府债供给扰动，长债收益率冲高后有所回落，短端整体相对平稳。2月至3月，银行负债缺口改善好于预期，叠加非银活期存款自律预期等，短端资产收益整体有所下行；长端主要受到美伊冲突及通胀担忧有所上行。4月至5月，非银负债回流配债资金加速进场，资金面宽松同时融资成本偏低，“资产荒”行情继续演绎，各期限品种整体下行明显。6月，月初银行体系融出显著回落，银行负债承压，叠加理财回表预期下预防性赎回，带动债券收益有所上行。后在央行流动性管理框架完善与资金预期修正中，债市情绪有所修复，收益率小幅回落。</w:t>
      </w:r>
    </w:p>
    <w:p w:rsidR="00C873CF">
      <w:pPr>
        <w:ind w:firstLine="420" w:firstLineChars="200"/>
        <w:rPr>
          <w:rFonts w:ascii="宋体" w:hAnsi="宋体"/>
          <w:sz w:val="24"/>
          <w:szCs w:val="24"/>
          <w:shd w:val="clear" w:color="auto" w:fill="FFFFFF"/>
        </w:rPr>
      </w:pPr>
      <w:r>
        <w:rPr>
          <w:rFonts w:ascii="宋体" w:hAnsi="宋体"/>
          <w:sz w:val="24"/>
          <w:szCs w:val="24"/>
          <w:shd w:val="clear" w:color="auto" w:fill="FFFFFF"/>
        </w:rPr>
        <w:t>本产品为高频开放型短债产品，投资运作坚守稳健基调，严控回撤风险，报告期内整体运作平稳。资产端以银行存款、存单及中高评级信用债为核心配置标的，统筹兼顾流动性、安全性与投资收益。同时依托宏观基本面与债市行情开展前瞻性研判，动态调整组合久期，优化持仓结构，捕捉波段交易机会，以增厚投资收益。</w:t>
      </w:r>
      <w:bookmarkEnd w:id="20"/>
    </w:p>
    <w:p w:rsidR="00C873CF">
      <w:pPr>
        <w:ind w:firstLine="420" w:firstLineChars="200"/>
        <w:rPr>
          <w:rFonts w:ascii="宋体" w:hAnsi="宋体"/>
          <w:sz w:val="24"/>
          <w:shd w:val="clear" w:color="auto" w:fill="FFFFFF"/>
        </w:rPr>
      </w:pPr>
      <w:r>
        <w:rPr>
          <w:rFonts w:ascii="宋体" w:eastAsia="宋体" w:hAnsi="宋体" w:cs="宋体"/>
          <w:b w:val="0"/>
          <w:i w:val="0"/>
          <w:color w:val="000000"/>
          <w:position w:val="-1"/>
          <w:sz w:val="24"/>
          <w:u w:val="none"/>
        </w:rPr>
        <w:t xml:space="preserve"> </w:t>
      </w:r>
    </w:p>
    <w:p w:rsidR="00C873CF">
      <w:pPr>
        <w:pStyle w:val="Heading3"/>
        <w:rPr>
          <w:sz w:val="24"/>
          <w:szCs w:val="24"/>
          <w:highlight w:val="yellow"/>
          <w:shd w:val="clear" w:color="auto" w:fill="FFFFFF"/>
        </w:rPr>
      </w:pPr>
      <w:r>
        <w:rPr>
          <w:rFonts w:hint="eastAsia"/>
          <w:sz w:val="24"/>
          <w:szCs w:val="24"/>
          <w:shd w:val="clear" w:color="auto" w:fill="FFFFFF"/>
        </w:rPr>
        <w:t>4.1.2 报告期内理财产品流动性风险分析</w:t>
      </w:r>
    </w:p>
    <w:p w:rsidR="00C873CF">
      <w:pPr>
        <w:ind w:firstLine="420" w:firstLineChars="200"/>
        <w:rPr>
          <w:sz w:val="24"/>
          <w:shd w:val="clear" w:color="auto" w:fill="FFFFFF"/>
        </w:rPr>
      </w:pPr>
      <w:r>
        <w:rPr>
          <w:rFonts w:hint="eastAsia"/>
          <w:sz w:val="24"/>
          <w:shd w:val="clear" w:color="auto" w:fill="FFFFFF"/>
        </w:rPr>
        <w:t>流动性风险是指产品在履行与金融负债有关的义务时遇到资金短缺的风险。本产品的流动性风险一方面来自理财份额持有人可在约定的开放日或到期日提出赎回其持有的理财份额，另一方面来自于投资品种所处的交易市场不活跃可能带来的资产变现困难或产品持仓资产在市场出现剧烈波动的情况下难以以合理价格变现的风险。</w:t>
      </w:r>
    </w:p>
    <w:p w:rsidR="00C873CF">
      <w:pPr>
        <w:ind w:firstLine="420" w:firstLineChars="200"/>
        <w:rPr>
          <w:sz w:val="24"/>
          <w:shd w:val="clear" w:color="auto" w:fill="FFFFFF"/>
        </w:rPr>
      </w:pPr>
      <w:r>
        <w:rPr>
          <w:rFonts w:hint="eastAsia"/>
          <w:sz w:val="24"/>
          <w:shd w:val="clear" w:color="auto" w:fill="FFFFFF"/>
        </w:rPr>
        <w:t>本理财产品管理人通过合理安排产品的投资品种和期限结构、限制资产持仓集中度、监控组合资金头寸等方式管理产品的流动性风险，确保本产品资产的变现能力与投资者赎回需求的匹配。报告期内，本产品未发生重大流动性风险事件。</w:t>
      </w:r>
    </w:p>
    <w:p w:rsidR="00C873CF">
      <w:pPr>
        <w:pStyle w:val="Heading3"/>
        <w:rPr>
          <w:sz w:val="24"/>
          <w:szCs w:val="24"/>
          <w:shd w:val="clear" w:color="auto" w:fill="FFFFFF"/>
        </w:rPr>
      </w:pPr>
      <w:r>
        <w:rPr>
          <w:rFonts w:hint="eastAsia"/>
          <w:sz w:val="24"/>
          <w:szCs w:val="24"/>
          <w:shd w:val="clear" w:color="auto" w:fill="FFFFFF"/>
        </w:rPr>
        <w:t>4.1.</w:t>
      </w:r>
      <w:r>
        <w:rPr>
          <w:sz w:val="24"/>
          <w:szCs w:val="24"/>
          <w:shd w:val="clear" w:color="auto" w:fill="FFFFFF"/>
        </w:rPr>
        <w:t>3</w:t>
      </w:r>
      <w:r>
        <w:rPr>
          <w:rFonts w:hint="eastAsia"/>
          <w:sz w:val="24"/>
          <w:szCs w:val="24"/>
          <w:shd w:val="clear" w:color="auto" w:fill="FFFFFF"/>
        </w:rPr>
        <w:t xml:space="preserve"> 管理人对未来的简要展望</w:t>
      </w:r>
    </w:p>
    <w:p w:rsidR="00C873CF">
      <w:pPr>
        <w:ind w:firstLine="420" w:firstLineChars="200"/>
        <w:rPr>
          <w:rFonts w:ascii="宋体" w:hAnsi="宋体"/>
          <w:sz w:val="24"/>
          <w:szCs w:val="24"/>
          <w:shd w:val="clear" w:color="auto" w:fill="FFFFFF"/>
        </w:rPr>
      </w:pPr>
      <w:bookmarkStart w:id="21" w:name="简要展望"/>
      <w:r>
        <w:rPr>
          <w:rFonts w:ascii="宋体" w:hAnsi="宋体"/>
          <w:sz w:val="24"/>
          <w:szCs w:val="24"/>
          <w:shd w:val="clear" w:color="auto" w:fill="FFFFFF"/>
        </w:rPr>
        <w:t>展望三季度，债市面临内外多空因素交织，波动率或有所抬升。利率债净供给或为年内高峰，海外波动亦有外溢风险，长端收益或震荡承压。基本面与货币政策对债市仍有支撑，预计短端确定性仍较强。后续持续关注政治局会议定调、政府债发行节奏、地缘政治及央行操作等对债券市场的影响。</w:t>
      </w:r>
      <w:bookmarkEnd w:id="21"/>
    </w:p>
    <w:p w:rsidR="00C873CF">
      <w:pPr>
        <w:pStyle w:val="Heading2"/>
        <w:rPr>
          <w:sz w:val="24"/>
          <w:szCs w:val="24"/>
          <w:shd w:val="clear" w:color="auto" w:fill="FFFFFF"/>
        </w:rPr>
      </w:pPr>
      <w:bookmarkStart w:id="22" w:name="_Toc256000010"/>
      <w:r>
        <w:rPr>
          <w:rFonts w:hint="eastAsia"/>
          <w:sz w:val="24"/>
          <w:szCs w:val="24"/>
          <w:shd w:val="clear" w:color="auto" w:fill="FFFFFF"/>
        </w:rPr>
        <w:t>4.2 理财产品报告期内关联交易发生情况</w:t>
      </w:r>
      <w:bookmarkEnd w:id="22"/>
    </w:p>
    <w:p w:rsidR="000E06DE">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hint="eastAsia"/>
          <w:sz w:val="24"/>
          <w:szCs w:val="24"/>
          <w:lang w:val="zh-CN"/>
        </w:rPr>
        <w:t>1本产品投资于关联方发行的证券，投资金额总计</w:t>
      </w:r>
      <w:r>
        <w:rPr>
          <w:rFonts w:ascii="宋体" w:eastAsia="宋体" w:hAnsi="宋体" w:cs="宋体"/>
          <w:b w:val="0"/>
          <w:color w:val="000000"/>
          <w:sz w:val="24"/>
        </w:rPr>
        <w:t>40,983,304.11</w:t>
      </w:r>
      <w:r>
        <w:rPr>
          <w:rFonts w:ascii="宋体" w:hAnsi="宋体" w:hint="eastAsia"/>
          <w:sz w:val="24"/>
          <w:szCs w:val="24"/>
          <w:lang w:val="zh-CN"/>
        </w:rPr>
        <w:t>元；</w:t>
      </w:r>
    </w:p>
    <w:p w:rsidR="000E06DE">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hint="eastAsia"/>
          <w:sz w:val="24"/>
          <w:szCs w:val="24"/>
          <w:lang w:val="zh-CN"/>
        </w:rPr>
        <w:t>2本产品投资于关联方承销的证券，投资金额总计</w:t>
      </w:r>
      <w:r>
        <w:rPr>
          <w:rFonts w:ascii="宋体" w:eastAsia="宋体" w:hAnsi="宋体" w:cs="宋体"/>
          <w:b w:val="0"/>
          <w:color w:val="000000"/>
          <w:sz w:val="24"/>
        </w:rPr>
        <w:t>13,997,274.28</w:t>
      </w:r>
      <w:r>
        <w:rPr>
          <w:rFonts w:ascii="宋体" w:hAnsi="宋体" w:hint="eastAsia"/>
          <w:sz w:val="24"/>
          <w:szCs w:val="24"/>
          <w:lang w:val="zh-CN"/>
        </w:rPr>
        <w:t>元；</w:t>
      </w:r>
    </w:p>
    <w:p w:rsidR="000E06DE">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sz w:val="24"/>
          <w:szCs w:val="24"/>
          <w:lang w:val="zh-CN"/>
        </w:rPr>
        <w:t>3</w:t>
      </w:r>
      <w:r>
        <w:rPr>
          <w:rFonts w:ascii="宋体" w:hAnsi="宋体" w:hint="eastAsia"/>
          <w:sz w:val="24"/>
          <w:szCs w:val="24"/>
          <w:lang w:val="zh-CN"/>
        </w:rPr>
        <w:t>本产品与关联方发生的服务类关联交易</w:t>
      </w:r>
    </w:p>
    <w:p w:rsidR="000E06DE">
      <w:pPr>
        <w:ind w:firstLine="420" w:firstLineChars="200"/>
        <w:rPr>
          <w:rFonts w:ascii="宋体" w:hAnsi="宋体"/>
          <w:sz w:val="24"/>
          <w:szCs w:val="24"/>
          <w:lang w:val="zh-CN"/>
        </w:rPr>
      </w:pPr>
      <w:r>
        <w:rPr>
          <w:rFonts w:ascii="宋体" w:eastAsia="宋体" w:hAnsi="宋体" w:cs="宋体"/>
          <w:b w:val="0"/>
          <w:color w:val="000000"/>
          <w:sz w:val="24"/>
        </w:rPr>
        <w:t>1、本产品投资于关联方发行管理的资管产品，应付管理费16,787.60元；</w:t>
      </w:r>
    </w:p>
    <w:p w:rsidR="000E06DE" w:rsidRPr="001B5777" w:rsidP="001B5777">
      <w:pPr>
        <w:rPr>
          <w:rFonts w:ascii="宋体" w:hAnsi="宋体"/>
          <w:sz w:val="18"/>
          <w:szCs w:val="18"/>
          <w:shd w:val="clear" w:color="auto" w:fill="FFFFFF"/>
        </w:rPr>
      </w:pPr>
      <w:r w:rsidRPr="001B5777">
        <w:rPr>
          <w:rFonts w:ascii="宋体" w:hAnsi="宋体" w:hint="eastAsia"/>
          <w:szCs w:val="21"/>
          <w:shd w:val="clear" w:color="auto" w:fill="FFFFFF"/>
        </w:rPr>
        <w:t>注：此处管理费为应付金额，根据管理人或托管行等第三方提供的管理费率按日加总计算，可能与实付金额存在一定误差。</w:t>
      </w:r>
      <w:r>
        <w:cr/>
      </w:r>
      <w:r>
        <w:rPr>
          <w:rFonts w:ascii="宋体" w:eastAsia="宋体" w:hAnsi="宋体" w:cs="宋体"/>
          <w:b w:val="0"/>
          <w:i w:val="0"/>
          <w:color w:val="000000"/>
          <w:position w:val="-1"/>
          <w:sz w:val="24"/>
          <w:u w:val="none"/>
        </w:rPr>
        <w:t xml:space="preserve">    2、报告期内，本产品向招商银行股份有限公司实付销售服务费用627,655.25元，实付托管费用581,551.07元。</w:t>
      </w:r>
    </w:p>
    <w:p w:rsidR="000E06DE">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hint="eastAsia"/>
          <w:sz w:val="24"/>
          <w:szCs w:val="24"/>
          <w:lang w:val="zh-CN"/>
        </w:rPr>
        <w:t>4本产品发生的其他类关联交易，</w:t>
      </w:r>
      <w:r>
        <w:rPr>
          <w:rFonts w:ascii="宋体" w:hAnsi="宋体" w:hint="eastAsia"/>
          <w:sz w:val="24"/>
          <w:szCs w:val="24"/>
        </w:rPr>
        <w:t>合计关联交易金额为</w:t>
      </w:r>
      <w:r>
        <w:rPr>
          <w:rFonts w:ascii="宋体" w:eastAsia="宋体" w:hAnsi="宋体" w:cs="宋体"/>
          <w:b w:val="0"/>
          <w:color w:val="000000"/>
          <w:sz w:val="24"/>
        </w:rPr>
        <w:t>23,485,000.00</w:t>
      </w:r>
      <w:r>
        <w:rPr>
          <w:rFonts w:ascii="宋体" w:hAnsi="宋体" w:hint="eastAsia"/>
          <w:sz w:val="24"/>
          <w:szCs w:val="24"/>
          <w:lang w:val="zh-CN"/>
        </w:rPr>
        <w:t>元。</w:t>
      </w:r>
    </w:p>
    <w:p w:rsidR="000E06DE">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hint="eastAsia"/>
          <w:sz w:val="24"/>
          <w:szCs w:val="24"/>
          <w:lang w:val="zh-CN"/>
        </w:rPr>
        <w:t>5本产品报告期内重大关联交易发生情况</w:t>
      </w:r>
    </w:p>
    <w:p w:rsidR="000E06DE" w:rsidP="006979CC">
      <w:pPr>
        <w:rPr>
          <w:rFonts w:ascii="宋体" w:hAnsi="宋体"/>
          <w:sz w:val="24"/>
          <w:szCs w:val="24"/>
          <w:lang w:val="zh-CN"/>
        </w:rPr>
      </w:pPr>
      <w:r>
        <w:rPr>
          <w:rFonts w:ascii="宋体" w:hAnsi="宋体"/>
          <w:sz w:val="24"/>
          <w:szCs w:val="24"/>
          <w:lang w:val="zh-CN"/>
        </w:rPr>
        <w:tab/>
      </w:r>
      <w:r>
        <w:rPr>
          <w:rFonts w:ascii="宋体" w:eastAsia="宋体" w:hAnsi="宋体" w:cs="宋体"/>
          <w:b w:val="0"/>
          <w:color w:val="000000"/>
          <w:sz w:val="24"/>
        </w:rPr>
        <w:t>报告期内，本产品未发生重大关联交易。</w:t>
      </w:r>
    </w:p>
    <w:p w:rsidR="00C873CF" w:rsidRPr="008674DD" w:rsidP="008674DD">
      <w:pPr>
        <w:pStyle w:val="Heading1"/>
        <w:spacing w:line="360" w:lineRule="auto"/>
        <w:jc w:val="center"/>
        <w:rPr>
          <w:rFonts w:ascii="宋体" w:hAnsi="宋体"/>
          <w:sz w:val="24"/>
          <w:szCs w:val="24"/>
          <w:shd w:val="clear" w:color="auto" w:fill="FFFFFF"/>
        </w:rPr>
      </w:pPr>
      <w:bookmarkStart w:id="24" w:name="_Toc256000011"/>
      <w:r>
        <w:rPr>
          <w:rFonts w:ascii="宋体" w:hAnsi="宋体" w:hint="eastAsia"/>
          <w:sz w:val="24"/>
          <w:szCs w:val="24"/>
          <w:shd w:val="clear" w:color="auto" w:fill="FFFFFF"/>
        </w:rPr>
        <w:t>§</w:t>
      </w:r>
      <w:r>
        <w:rPr>
          <w:rFonts w:ascii="宋体" w:hAnsi="宋体"/>
          <w:sz w:val="24"/>
          <w:szCs w:val="24"/>
          <w:shd w:val="clear" w:color="auto" w:fill="FFFFFF"/>
        </w:rPr>
        <w:t>5</w:t>
      </w:r>
      <w:r>
        <w:rPr>
          <w:rFonts w:ascii="宋体" w:hAnsi="宋体" w:hint="eastAsia"/>
          <w:sz w:val="24"/>
          <w:szCs w:val="24"/>
          <w:shd w:val="clear" w:color="auto" w:fill="FFFFFF"/>
        </w:rPr>
        <w:t xml:space="preserve"> 投资组合报告</w:t>
      </w:r>
      <w:bookmarkEnd w:id="24"/>
      <w:bookmarkStart w:id="25" w:name="_Toc12382928"/>
      <w:bookmarkStart w:id="26" w:name="章节5"/>
    </w:p>
    <w:p w:rsidR="00BC02A8">
      <w:pPr>
        <w:pStyle w:val="Heading2"/>
        <w:rPr>
          <w:b w:val="0"/>
          <w:bCs/>
          <w:sz w:val="24"/>
          <w:szCs w:val="24"/>
          <w:shd w:val="clear" w:color="auto" w:fill="FFFFFF"/>
        </w:rPr>
      </w:pPr>
      <w:bookmarkStart w:id="27" w:name="_Toc256000012"/>
      <w:r>
        <w:rPr>
          <w:b/>
          <w:i w:val="0"/>
          <w:color w:val="000000"/>
          <w:position w:val="-1"/>
          <w:sz w:val="24"/>
          <w:u w:val="none"/>
        </w:rPr>
        <w:t>5.1 期末理财产品资产组合情况</w:t>
      </w:r>
      <w:bookmarkEnd w:id="27"/>
    </w:p>
    <w:tbl>
      <w:tblPr>
        <w:tblStyle w:val="TableNormal"/>
        <w:tblW w:w="933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9"/>
        <w:gridCol w:w="1729"/>
        <w:gridCol w:w="2149"/>
        <w:gridCol w:w="1417"/>
        <w:gridCol w:w="2149"/>
        <w:gridCol w:w="1417"/>
      </w:tblGrid>
      <w:tr>
        <w:tblPrEx>
          <w:tblW w:w="933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92"/>
        </w:trPr>
        <w:tc>
          <w:tcPr>
            <w:tcW w:w="46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序号</w:t>
            </w:r>
          </w:p>
        </w:tc>
        <w:tc>
          <w:tcPr>
            <w:tcW w:w="1729" w:type="dxa"/>
            <w:vMerge w:val="restart"/>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项目</w:t>
            </w:r>
          </w:p>
        </w:tc>
        <w:tc>
          <w:tcPr>
            <w:tcW w:w="3566" w:type="dxa"/>
            <w:gridSpan w:val="2"/>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穿透前</w:t>
            </w:r>
          </w:p>
        </w:tc>
        <w:tc>
          <w:tcPr>
            <w:tcW w:w="3566" w:type="dxa"/>
            <w:gridSpan w:val="2"/>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穿透后</w:t>
            </w:r>
          </w:p>
        </w:tc>
      </w:tr>
      <w:tr>
        <w:tblPrEx>
          <w:tblW w:w="9330" w:type="dxa"/>
          <w:tblInd w:w="-7" w:type="dxa"/>
          <w:tblLayout w:type="fixed"/>
          <w:tblLook w:val="04A0"/>
        </w:tblPrEx>
        <w:trPr>
          <w:trHeight w:val="692"/>
        </w:trPr>
        <w:tc>
          <w:tcPr>
            <w:tcW w:w="469" w:type="dxa"/>
            <w:vMerge/>
            <w:tcBorders>
              <w:top w:val="single" w:sz="4" w:space="0" w:color="auto"/>
              <w:left w:val="single" w:sz="4" w:space="0" w:color="auto"/>
              <w:bottom w:val="single" w:sz="4" w:space="0" w:color="auto"/>
              <w:right w:val="single" w:sz="4" w:space="0" w:color="auto"/>
            </w:tcBorders>
            <w:vAlign w:val="center"/>
          </w:tcPr>
          <w:p w:rsidR="00BC02A8">
            <w:pPr>
              <w:widowControl/>
              <w:jc w:val="left"/>
              <w:rPr>
                <w:rFonts w:ascii="宋体" w:hAnsi="宋体"/>
                <w:b/>
              </w:rPr>
            </w:pPr>
          </w:p>
        </w:tc>
        <w:tc>
          <w:tcPr>
            <w:tcW w:w="1729" w:type="dxa"/>
            <w:vMerge/>
            <w:tcBorders>
              <w:top w:val="single" w:sz="4" w:space="0" w:color="auto"/>
              <w:left w:val="nil"/>
              <w:bottom w:val="single" w:sz="4" w:space="0" w:color="auto"/>
              <w:right w:val="single" w:sz="4" w:space="0" w:color="auto"/>
            </w:tcBorders>
            <w:vAlign w:val="center"/>
          </w:tcPr>
          <w:p w:rsidR="00BC02A8">
            <w:pPr>
              <w:widowControl/>
              <w:jc w:val="left"/>
              <w:rPr>
                <w:rFonts w:ascii="宋体" w:hAnsi="宋体"/>
                <w:b/>
              </w:rPr>
            </w:pPr>
          </w:p>
        </w:tc>
        <w:tc>
          <w:tcPr>
            <w:tcW w:w="2149" w:type="dxa"/>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资产余额</w:t>
            </w:r>
          </w:p>
          <w:p w:rsidR="00BC02A8">
            <w:pPr>
              <w:jc w:val="center"/>
              <w:rPr>
                <w:rFonts w:ascii="宋体" w:hAnsi="宋体"/>
                <w:b/>
              </w:rPr>
            </w:pPr>
            <w:r>
              <w:rPr>
                <w:rFonts w:ascii="宋体" w:eastAsia="宋体" w:hAnsi="宋体" w:cs="宋体"/>
                <w:b/>
                <w:i w:val="0"/>
                <w:color w:val="000000"/>
                <w:position w:val="-1"/>
                <w:u w:val="none"/>
              </w:rPr>
              <w:t>（单位：元）</w:t>
            </w:r>
          </w:p>
        </w:tc>
        <w:tc>
          <w:tcPr>
            <w:tcW w:w="1417" w:type="dxa"/>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占产品总资产的比例（%）</w:t>
            </w:r>
          </w:p>
        </w:tc>
        <w:tc>
          <w:tcPr>
            <w:tcW w:w="2149" w:type="dxa"/>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资产余额</w:t>
            </w:r>
          </w:p>
          <w:p w:rsidR="00BC02A8">
            <w:pPr>
              <w:jc w:val="center"/>
              <w:rPr>
                <w:rFonts w:ascii="宋体" w:hAnsi="宋体"/>
                <w:b/>
              </w:rPr>
            </w:pPr>
            <w:r>
              <w:rPr>
                <w:rFonts w:ascii="宋体" w:eastAsia="宋体" w:hAnsi="宋体" w:cs="宋体"/>
                <w:b/>
                <w:i w:val="0"/>
                <w:color w:val="000000"/>
                <w:position w:val="-1"/>
                <w:u w:val="none"/>
              </w:rPr>
              <w:t>（单位：元）</w:t>
            </w:r>
          </w:p>
        </w:tc>
        <w:tc>
          <w:tcPr>
            <w:tcW w:w="1417" w:type="dxa"/>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占产品总资产的比例（%）</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现金及银行存款</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1,105,069,974.48</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15.22</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1,711,045,348.51</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23.56</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2</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同业存单</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496,173,967.66</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6.83</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496,173,967.66</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6.83</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3</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拆放同业及债券买入返售</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2,030,609,067.72</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27.96</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2,133,889,049.41</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29.38</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4</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债券</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924,022,330.93</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12.72</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1,066,880,897.08</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14.69</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5</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非标准化债权类资产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6</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权益类投资</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7</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金融衍生品</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8</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境外资产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9</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商品类资产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10</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另类资产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11</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公募基金</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905,350,174.70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12.47</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12</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私募基金</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13</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资产管理产品</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2,706,202,380.15</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37.27</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14</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委外投资-协议方式</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15</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其他资产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948,953,078.06</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13.07</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合计</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7,262,077,720.94</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100.00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7,262,292,515.42</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100.00</w:t>
            </w:r>
          </w:p>
        </w:tc>
      </w:tr>
    </w:tbl>
    <w:p w:rsidR="00BC02A8">
      <w:pPr>
        <w:rPr>
          <w:rFonts w:ascii="宋体" w:hAnsi="宋体"/>
          <w:shd w:val="clear" w:color="auto" w:fill="FFFFFF"/>
        </w:rPr>
      </w:pPr>
      <w:r>
        <w:rPr>
          <w:rFonts w:ascii="宋体" w:hAnsi="宋体" w:hint="eastAsia"/>
          <w:shd w:val="clear" w:color="auto" w:fill="FFFFFF"/>
        </w:rPr>
        <w:t>注：</w:t>
      </w:r>
    </w:p>
    <w:p w:rsidR="00BC02A8">
      <w:pPr>
        <w:rPr>
          <w:rFonts w:ascii="宋体" w:hAnsi="宋体" w:cs="宋体"/>
        </w:rPr>
      </w:pPr>
      <w:r>
        <w:rPr>
          <w:rFonts w:ascii="宋体" w:hAnsi="宋体" w:cs="宋体" w:hint="eastAsia"/>
        </w:rPr>
        <w:t>1.穿透前列示的为理财产品直接投资并持有的各类资产，包括公募基金、私募基金、资产管理产品、通过签订协议的方式开展委托投资-协议方式持有资产以及其他直接投资并持有的资产的余额及占比，穿透后列示的为理财产品直接持有的各类资产、公募基金（无需穿透），以及对于间接持有的通过私募基金、资产管理产品、委外投资-协议方式投资的资产，即私募基金、资产管理产品、委外投资-协议方式投资需穿透至底层资产，按照理财产品持有比</w:t>
      </w:r>
      <w:r>
        <w:rPr>
          <w:rFonts w:ascii="宋体" w:hAnsi="宋体" w:cs="宋体" w:hint="eastAsia"/>
        </w:rPr>
        <w:t>例计算的底层资产余额及占比。</w:t>
      </w:r>
    </w:p>
    <w:p w:rsidR="00BC02A8">
      <w:pPr>
        <w:rPr>
          <w:rFonts w:ascii="宋体" w:hAnsi="宋体" w:cs="宋体"/>
        </w:rPr>
      </w:pPr>
      <w:r>
        <w:rPr>
          <w:rFonts w:ascii="宋体" w:hAnsi="宋体" w:cs="宋体" w:hint="eastAsia"/>
        </w:rPr>
        <w:t>2.金额中包含资产应计利息、其他应收款项、清算款项和待摊费用。</w:t>
      </w:r>
    </w:p>
    <w:p w:rsidR="00BC02A8">
      <w:pPr>
        <w:rPr>
          <w:rFonts w:ascii="宋体" w:hAnsi="宋体" w:cs="宋体"/>
        </w:rPr>
      </w:pPr>
      <w:r>
        <w:rPr>
          <w:rFonts w:ascii="宋体" w:eastAsia="宋体" w:hAnsi="宋体" w:cs="宋体"/>
          <w:b w:val="0"/>
          <w:i w:val="0"/>
          <w:color w:val="000000"/>
          <w:position w:val="-1"/>
          <w:u w:val="none"/>
        </w:rPr>
        <w:t>3.占产品总资产的比例=资产余额/产品总资产，占比结果保留两位小数（因第二位小数四舍五入，可能存在尾差）。</w:t>
      </w:r>
    </w:p>
    <w:p w:rsidR="00EA25B3">
      <w:pPr>
        <w:pStyle w:val="Heading2"/>
        <w:widowControl/>
        <w:rPr>
          <w:rFonts w:cs="宋体" w:hint="default"/>
          <w:color w:val="333333"/>
          <w:kern w:val="0"/>
          <w:szCs w:val="21"/>
          <w:highlight w:val="lightGray"/>
          <w:shd w:val="clear" w:color="auto" w:fill="FFFFFF"/>
        </w:rPr>
      </w:pPr>
      <w:bookmarkStart w:id="28" w:name="_Toc256000013"/>
      <w:r>
        <w:rPr>
          <w:b/>
          <w:i w:val="0"/>
          <w:color w:val="000000"/>
          <w:position w:val="-1"/>
          <w:sz w:val="24"/>
          <w:u w:val="none"/>
        </w:rPr>
        <w:t>5.2 期末投资组合前十项资产</w:t>
      </w:r>
      <w:bookmarkEnd w:id="28"/>
    </w:p>
    <w:tbl>
      <w:tblPr>
        <w:tblStyle w:val="TableNormal"/>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09"/>
        <w:gridCol w:w="2386"/>
        <w:gridCol w:w="3046"/>
        <w:gridCol w:w="1631"/>
      </w:tblGrid>
      <w:tr>
        <w:tblPrEx>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c>
          <w:tcPr>
            <w:tcW w:w="2009" w:type="dxa"/>
            <w:shd w:val="clear" w:color="auto" w:fill="BFBFBF"/>
            <w:vAlign w:val="center"/>
          </w:tcPr>
          <w:p w:rsidR="00EA25B3">
            <w:pPr>
              <w:widowControl/>
              <w:jc w:val="center"/>
              <w:rPr>
                <w:rFonts w:ascii="宋体" w:hAnsi="宋体" w:cs="宋体"/>
                <w:b/>
                <w:color w:val="333333"/>
                <w:kern w:val="0"/>
                <w:szCs w:val="21"/>
                <w:highlight w:val="lightGray"/>
                <w:shd w:val="clear" w:color="auto" w:fill="FFFFFF"/>
              </w:rPr>
            </w:pPr>
            <w:r w:rsidRPr="0090581A">
              <w:rPr>
                <w:rFonts w:ascii="宋体" w:hAnsi="宋体" w:cs="宋体" w:hint="eastAsia"/>
                <w:b/>
                <w:szCs w:val="21"/>
              </w:rPr>
              <w:t>序号</w:t>
            </w:r>
          </w:p>
        </w:tc>
        <w:tc>
          <w:tcPr>
            <w:tcW w:w="2386" w:type="dxa"/>
            <w:shd w:val="clear" w:color="auto" w:fill="BFBFBF"/>
            <w:vAlign w:val="center"/>
          </w:tcPr>
          <w:p w:rsidR="00EA25B3">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资产名称</w:t>
            </w:r>
          </w:p>
        </w:tc>
        <w:tc>
          <w:tcPr>
            <w:tcW w:w="3046" w:type="dxa"/>
            <w:shd w:val="clear" w:color="auto" w:fill="BFBFBF"/>
            <w:vAlign w:val="center"/>
          </w:tcPr>
          <w:p w:rsidR="00EA25B3">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资产余额</w:t>
            </w:r>
          </w:p>
          <w:p w:rsidR="00EA25B3">
            <w:pPr>
              <w:widowControl/>
              <w:jc w:val="center"/>
              <w:rPr>
                <w:rFonts w:ascii="宋体" w:hAnsi="宋体" w:cs="宋体"/>
                <w:b/>
                <w:szCs w:val="21"/>
              </w:rPr>
            </w:pPr>
            <w:r>
              <w:rPr>
                <w:rFonts w:ascii="宋体" w:hAnsi="宋体" w:cs="宋体" w:hint="eastAsia"/>
                <w:b/>
                <w:szCs w:val="21"/>
              </w:rPr>
              <w:t>（单位：</w:t>
            </w:r>
            <w:r>
              <w:rPr>
                <w:rFonts w:ascii="宋体" w:eastAsia="宋体" w:hAnsi="宋体" w:cs="宋体"/>
                <w:b/>
                <w:i w:val="0"/>
                <w:color w:val="000000"/>
                <w:position w:val="-1"/>
                <w:u w:val="none"/>
              </w:rPr>
              <w:t>元</w:t>
            </w:r>
            <w:r>
              <w:rPr>
                <w:rFonts w:ascii="宋体" w:hAnsi="宋体" w:cs="宋体" w:hint="eastAsia"/>
                <w:b/>
                <w:szCs w:val="21"/>
              </w:rPr>
              <w:t>）</w:t>
            </w:r>
          </w:p>
        </w:tc>
        <w:tc>
          <w:tcPr>
            <w:tcW w:w="1631" w:type="dxa"/>
            <w:shd w:val="clear" w:color="auto" w:fill="BFBFBF"/>
            <w:vAlign w:val="center"/>
          </w:tcPr>
          <w:p w:rsidR="00EA25B3">
            <w:pPr>
              <w:widowControl/>
              <w:jc w:val="center"/>
              <w:rPr>
                <w:rFonts w:ascii="宋体" w:hAnsi="宋体" w:cs="宋体"/>
                <w:b/>
                <w:szCs w:val="21"/>
              </w:rPr>
            </w:pPr>
            <w:r>
              <w:rPr>
                <w:rFonts w:ascii="宋体" w:hAnsi="宋体" w:cs="宋体" w:hint="eastAsia"/>
                <w:b/>
                <w:szCs w:val="21"/>
              </w:rPr>
              <w:t>占产品净资产</w:t>
            </w:r>
          </w:p>
          <w:p w:rsidR="00EA25B3">
            <w:pPr>
              <w:widowControl/>
              <w:jc w:val="center"/>
              <w:rPr>
                <w:rFonts w:ascii="宋体" w:hAnsi="宋体" w:cs="宋体"/>
                <w:b/>
                <w:color w:val="333333"/>
                <w:kern w:val="0"/>
                <w:szCs w:val="21"/>
                <w:highlight w:val="lightGray"/>
                <w:shd w:val="clear" w:color="auto" w:fill="FFFFFF"/>
              </w:rPr>
            </w:pPr>
            <w:r>
              <w:rPr>
                <w:rFonts w:ascii="宋体" w:hAnsi="宋体" w:cs="宋体"/>
                <w:b/>
                <w:szCs w:val="21"/>
              </w:rPr>
              <w:t>的</w:t>
            </w:r>
            <w:r>
              <w:rPr>
                <w:rFonts w:ascii="宋体" w:hAnsi="宋体" w:cs="宋体" w:hint="eastAsia"/>
                <w:b/>
                <w:szCs w:val="21"/>
              </w:rPr>
              <w:t>比例（%）</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定期存款12600119503022026062501</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220,880,461.08</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3.04</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26建设银行CD062</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198,581,544.73</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2.74</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26农业银行CD156</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197,887,569.23</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2.73</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4</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鑫元安鑫宝货币A</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141,498,064.32</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1.95</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5</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万家现金增利B</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105,772,188.90</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1.46</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6</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22广发Y2</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105,376,447.95</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1.45</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7</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24建信金租债01</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101,256,779.45</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1.39</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8</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24国开清发02</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100,969,156.16</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1.39</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9</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25中国银行CD062</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99,704,853.70</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1.37</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10</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兴业安润B</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74,421,065.64</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1.03</w:t>
            </w:r>
          </w:p>
        </w:tc>
      </w:tr>
    </w:tbl>
    <w:p w:rsidR="00EA25B3" w:rsidP="005016D1">
      <w:pPr>
        <w:rPr>
          <w:rFonts w:ascii="宋体" w:hAnsi="宋体"/>
          <w:szCs w:val="21"/>
          <w:shd w:val="clear" w:color="auto" w:fill="FFFFFF"/>
        </w:rPr>
      </w:pPr>
      <w:r>
        <w:rPr>
          <w:rFonts w:ascii="宋体" w:hAnsi="宋体" w:hint="eastAsia"/>
          <w:szCs w:val="21"/>
          <w:shd w:val="clear" w:color="auto" w:fill="FFFFFF"/>
        </w:rPr>
        <w:t>注：</w:t>
      </w:r>
    </w:p>
    <w:p w:rsidR="005016D1" w:rsidRPr="005016D1" w:rsidP="005016D1">
      <w:r w:rsidRPr="005016D1">
        <w:t>1.</w:t>
      </w:r>
      <w:r w:rsidRPr="005016D1">
        <w:rPr>
          <w:rFonts w:ascii="宋体" w:hAnsi="宋体" w:hint="eastAsia"/>
        </w:rPr>
        <w:t>本表格列示穿透后投资规模占比较高的前十项资产，不包括现金、活期存款、备付金、保证金、同业拆借及回购等资产。</w:t>
      </w:r>
    </w:p>
    <w:p w:rsidR="005016D1" w:rsidRPr="005016D1" w:rsidP="005016D1">
      <w:r w:rsidRPr="005016D1">
        <w:rPr>
          <w:rFonts w:hint="eastAsia"/>
        </w:rPr>
        <w:t>2.</w:t>
      </w:r>
      <w:r w:rsidRPr="005016D1">
        <w:rPr>
          <w:rFonts w:ascii="宋体" w:hAnsi="宋体" w:hint="eastAsia"/>
        </w:rPr>
        <w:t>金额中包含资产应计利息、其他应收款项、清算款项和待摊费用。</w:t>
      </w:r>
    </w:p>
    <w:p w:rsidR="005016D1" w:rsidRPr="005016D1" w:rsidP="005016D1">
      <w:r w:rsidRPr="005016D1">
        <w:rPr>
          <w:rFonts w:hint="eastAsia"/>
        </w:rPr>
        <w:t>3.</w:t>
      </w:r>
      <w:r w:rsidRPr="005016D1">
        <w:rPr>
          <w:rFonts w:ascii="宋体" w:hAnsi="宋体" w:hint="eastAsia"/>
        </w:rPr>
        <w:t>占</w:t>
      </w:r>
      <w:r w:rsidRPr="005016D1">
        <w:rPr>
          <w:rFonts w:ascii="宋体" w:hAnsi="宋体"/>
        </w:rPr>
        <w:t>产品</w:t>
      </w:r>
      <w:r w:rsidRPr="005016D1">
        <w:rPr>
          <w:rFonts w:ascii="宋体" w:hAnsi="宋体" w:hint="eastAsia"/>
        </w:rPr>
        <w:t>净</w:t>
      </w:r>
      <w:r w:rsidRPr="005016D1">
        <w:rPr>
          <w:rFonts w:ascii="宋体" w:hAnsi="宋体"/>
        </w:rPr>
        <w:t>资产的比例</w:t>
      </w:r>
      <w:r w:rsidRPr="005016D1">
        <w:t>=</w:t>
      </w:r>
      <w:r w:rsidRPr="005016D1">
        <w:rPr>
          <w:rFonts w:ascii="宋体" w:hAnsi="宋体"/>
        </w:rPr>
        <w:t>资产</w:t>
      </w:r>
      <w:r w:rsidRPr="005016D1">
        <w:rPr>
          <w:rFonts w:ascii="宋体" w:hAnsi="宋体" w:hint="eastAsia"/>
        </w:rPr>
        <w:t>余额</w:t>
      </w:r>
      <w:r w:rsidRPr="005016D1">
        <w:rPr>
          <w:rFonts w:hint="eastAsia"/>
        </w:rPr>
        <w:t>/</w:t>
      </w:r>
      <w:r w:rsidRPr="005016D1">
        <w:rPr>
          <w:rFonts w:ascii="宋体" w:hAnsi="宋体" w:hint="eastAsia"/>
        </w:rPr>
        <w:t>产品净</w:t>
      </w:r>
      <w:r w:rsidRPr="005016D1">
        <w:rPr>
          <w:rFonts w:ascii="宋体" w:hAnsi="宋体"/>
        </w:rPr>
        <w:t>资产，</w:t>
      </w:r>
      <w:r w:rsidRPr="005016D1">
        <w:rPr>
          <w:rFonts w:ascii="宋体" w:hAnsi="宋体" w:hint="eastAsia"/>
        </w:rPr>
        <w:t>占比</w:t>
      </w:r>
      <w:r w:rsidRPr="005016D1">
        <w:rPr>
          <w:rFonts w:ascii="宋体" w:hAnsi="宋体"/>
        </w:rPr>
        <w:t>结果</w:t>
      </w:r>
      <w:r w:rsidRPr="005016D1">
        <w:rPr>
          <w:rFonts w:ascii="宋体" w:hAnsi="宋体" w:hint="eastAsia"/>
        </w:rPr>
        <w:t>保留两位小数（因第二位小数四舍五入，可能存在尾差）。</w:t>
      </w:r>
    </w:p>
    <w:p w:rsidR="0038453A" w:rsidP="0038453A">
      <w:pPr>
        <w:pStyle w:val="Heading2"/>
        <w:rPr>
          <w:sz w:val="24"/>
          <w:szCs w:val="24"/>
          <w:shd w:val="clear" w:color="auto" w:fill="FFFFFF"/>
        </w:rPr>
      </w:pPr>
      <w:bookmarkStart w:id="29" w:name="_Toc256000014"/>
      <w:r>
        <w:rPr>
          <w:b/>
          <w:i w:val="0"/>
          <w:color w:val="000000"/>
          <w:position w:val="-1"/>
          <w:sz w:val="24"/>
          <w:u w:val="none"/>
        </w:rPr>
        <w:t>5.3 报告期末非标准化债权类资产信息</w:t>
      </w:r>
      <w:bookmarkEnd w:id="29"/>
    </w:p>
    <w:tbl>
      <w:tblPr>
        <w:tblStyle w:val="TableGrid"/>
        <w:tblW w:w="9067" w:type="dxa"/>
        <w:tblInd w:w="0" w:type="dxa"/>
        <w:tblLook w:val="04A0"/>
      </w:tblPr>
      <w:tblGrid>
        <w:gridCol w:w="2122"/>
        <w:gridCol w:w="1701"/>
        <w:gridCol w:w="2268"/>
        <w:gridCol w:w="1417"/>
        <w:gridCol w:w="1559"/>
      </w:tblGrid>
      <w:tr w:rsidTr="0038453A">
        <w:tblPrEx>
          <w:tblW w:w="9067" w:type="dxa"/>
          <w:tblInd w:w="0" w:type="dxa"/>
          <w:tblLook w:val="04A0"/>
        </w:tblPrEx>
        <w:tc>
          <w:tcPr>
            <w:tcW w:w="2122"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sz w:val="21"/>
              </w:rPr>
            </w:pPr>
            <w:r>
              <w:rPr>
                <w:rFonts w:ascii="宋体" w:hAnsi="宋体" w:hint="eastAsia"/>
                <w:b/>
              </w:rPr>
              <w:t>资产名称</w:t>
            </w:r>
          </w:p>
        </w:tc>
        <w:tc>
          <w:tcPr>
            <w:tcW w:w="1701"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rPr>
            </w:pPr>
            <w:r>
              <w:rPr>
                <w:rFonts w:ascii="宋体" w:hAnsi="宋体" w:hint="eastAsia"/>
                <w:b/>
              </w:rPr>
              <w:t>融资客户名称</w:t>
            </w:r>
          </w:p>
        </w:tc>
        <w:tc>
          <w:tcPr>
            <w:tcW w:w="2268"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rPr>
            </w:pPr>
            <w:r>
              <w:rPr>
                <w:rFonts w:ascii="宋体" w:hAnsi="宋体" w:hint="eastAsia"/>
                <w:b/>
              </w:rPr>
              <w:t>项目剩余融资期限</w:t>
            </w:r>
          </w:p>
          <w:p w:rsidR="0038453A">
            <w:pPr>
              <w:widowControl/>
              <w:jc w:val="center"/>
              <w:rPr>
                <w:rFonts w:ascii="宋体" w:hAnsi="宋体"/>
                <w:b/>
              </w:rPr>
            </w:pPr>
            <w:r>
              <w:rPr>
                <w:rFonts w:ascii="宋体" w:hAnsi="宋体" w:hint="eastAsia"/>
                <w:b/>
              </w:rPr>
              <w:t>（单位：天）</w:t>
            </w:r>
          </w:p>
        </w:tc>
        <w:tc>
          <w:tcPr>
            <w:tcW w:w="1417"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rPr>
            </w:pPr>
            <w:r>
              <w:rPr>
                <w:rFonts w:ascii="宋体" w:hAnsi="宋体" w:hint="eastAsia"/>
                <w:b/>
              </w:rPr>
              <w:t>交易结构</w:t>
            </w:r>
          </w:p>
        </w:tc>
        <w:tc>
          <w:tcPr>
            <w:tcW w:w="1559"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rPr>
            </w:pPr>
            <w:r>
              <w:rPr>
                <w:rFonts w:ascii="宋体" w:hAnsi="宋体" w:hint="eastAsia"/>
                <w:b/>
              </w:rPr>
              <w:t>风险状况</w:t>
            </w:r>
          </w:p>
        </w:tc>
      </w:tr>
      <w:tr w:rsidTr="0038453A">
        <w:tblPrEx>
          <w:tblW w:w="9067" w:type="dxa"/>
          <w:tblInd w:w="0" w:type="dxa"/>
          <w:tblLook w:val="04A0"/>
        </w:tblPrEx>
        <w:trPr>
          <w:trHeight w:val="431"/>
        </w:trPr>
        <w:tc>
          <w:tcPr>
            <w:tcW w:w="2122" w:type="dxa"/>
            <w:tcBorders>
              <w:top w:val="single" w:sz="4" w:space="0" w:color="auto"/>
              <w:left w:val="single" w:sz="4" w:space="0" w:color="auto"/>
              <w:bottom w:val="single" w:sz="4" w:space="0" w:color="auto"/>
              <w:right w:val="single" w:sz="4" w:space="0" w:color="auto"/>
            </w:tcBorders>
            <w:vAlign w:val="center"/>
            <w:hideMark/>
          </w:tcPr>
          <w:p>
            <w:pPr>
              <w:ind w:left="-1" w:right="-1"/>
              <w:jc w:val="center"/>
            </w:pPr>
            <w:r>
              <w:rPr>
                <w:rFonts w:ascii="宋体" w:eastAsia="宋体" w:hAnsi="宋体" w:cs="宋体"/>
                <w:b w:val="0"/>
                <w:i w:val="0"/>
                <w:color w:val="000000"/>
                <w:spacing w:val="0"/>
                <w:position w:val="-1"/>
                <w:u w:val="none"/>
                <w:vertAlign w:val="baseline"/>
              </w:rPr>
              <w:t>-</w:t>
            </w:r>
          </w:p>
        </w:tc>
        <w:tc>
          <w:tcPr>
            <w:tcW w:w="1701"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268"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417"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559"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813929" w:rsidRPr="0038453A" w:rsidP="0038453A">
      <w:r>
        <w:rPr>
          <w:rFonts w:ascii="宋体" w:hAnsi="宋体" w:hint="eastAsia"/>
          <w:shd w:val="clear" w:color="auto" w:fill="FFFFFF"/>
        </w:rPr>
        <w:t>注：项目剩余融资期限为非标准化债权类资产自报告期末至项目结束之间的期限，如该笔资产在报告期内已到期或已卖出，则显示为“</w:t>
      </w:r>
      <w:r>
        <w:rPr>
          <w:rFonts w:hint="eastAsia"/>
          <w:shd w:val="clear" w:color="auto" w:fill="FFFFFF"/>
        </w:rPr>
        <w:t>-</w:t>
      </w:r>
      <w:r>
        <w:rPr>
          <w:rFonts w:ascii="宋体" w:hAnsi="宋体" w:hint="eastAsia"/>
          <w:shd w:val="clear" w:color="auto" w:fill="FFFFFF"/>
        </w:rPr>
        <w:t>”。</w:t>
      </w:r>
    </w:p>
    <w:p w:rsidR="00A10263" w:rsidP="00A10263">
      <w:pPr>
        <w:pStyle w:val="Heading2"/>
        <w:rPr>
          <w:sz w:val="24"/>
          <w:szCs w:val="24"/>
          <w:shd w:val="clear" w:color="auto" w:fill="FFFFFF"/>
        </w:rPr>
      </w:pPr>
      <w:bookmarkStart w:id="30" w:name="_Toc256000015"/>
      <w:r>
        <w:rPr>
          <w:b/>
          <w:i w:val="0"/>
          <w:color w:val="000000"/>
          <w:position w:val="-1"/>
          <w:sz w:val="24"/>
          <w:u w:val="none"/>
        </w:rPr>
        <w:t>5.4 报告期内到期的非标准化债权类资产及收益情况</w:t>
      </w:r>
      <w:bookmarkEnd w:id="30"/>
    </w:p>
    <w:tbl>
      <w:tblPr>
        <w:tblStyle w:val="TableGrid"/>
        <w:tblW w:w="9060" w:type="dxa"/>
        <w:tblInd w:w="0" w:type="dxa"/>
        <w:tblLook w:val="04A0"/>
      </w:tblPr>
      <w:tblGrid>
        <w:gridCol w:w="1953"/>
        <w:gridCol w:w="1188"/>
        <w:gridCol w:w="1543"/>
        <w:gridCol w:w="1123"/>
        <w:gridCol w:w="1133"/>
        <w:gridCol w:w="2120"/>
      </w:tblGrid>
      <w:tr w:rsidTr="00A10263">
        <w:tblPrEx>
          <w:tblW w:w="9060" w:type="dxa"/>
          <w:tblInd w:w="0" w:type="dxa"/>
          <w:tblLook w:val="04A0"/>
        </w:tblPrEx>
        <w:tc>
          <w:tcPr>
            <w:tcW w:w="1953"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sz w:val="21"/>
              </w:rPr>
            </w:pPr>
            <w:r>
              <w:rPr>
                <w:rFonts w:ascii="宋体" w:hAnsi="宋体" w:hint="eastAsia"/>
                <w:b/>
              </w:rPr>
              <w:t>资产名称</w:t>
            </w:r>
          </w:p>
        </w:tc>
        <w:tc>
          <w:tcPr>
            <w:tcW w:w="1188"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融资客户名称</w:t>
            </w:r>
          </w:p>
        </w:tc>
        <w:tc>
          <w:tcPr>
            <w:tcW w:w="1543"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项目剩余融资期限</w:t>
            </w:r>
          </w:p>
          <w:p w:rsidR="00A10263">
            <w:pPr>
              <w:widowControl/>
              <w:jc w:val="center"/>
              <w:rPr>
                <w:rFonts w:ascii="宋体" w:hAnsi="宋体"/>
                <w:b/>
              </w:rPr>
            </w:pPr>
            <w:r>
              <w:rPr>
                <w:rFonts w:ascii="宋体" w:hAnsi="宋体" w:hint="eastAsia"/>
                <w:b/>
              </w:rPr>
              <w:t>（单位：天）</w:t>
            </w:r>
          </w:p>
        </w:tc>
        <w:tc>
          <w:tcPr>
            <w:tcW w:w="1123"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交易结构</w:t>
            </w:r>
          </w:p>
        </w:tc>
        <w:tc>
          <w:tcPr>
            <w:tcW w:w="1133"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风险状况</w:t>
            </w:r>
          </w:p>
        </w:tc>
        <w:tc>
          <w:tcPr>
            <w:tcW w:w="2120"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投资收益</w:t>
            </w:r>
          </w:p>
          <w:p w:rsidR="00A10263">
            <w:pPr>
              <w:widowControl/>
              <w:jc w:val="center"/>
              <w:rPr>
                <w:rFonts w:ascii="宋体" w:hAnsi="宋体"/>
                <w:b/>
              </w:rPr>
            </w:pPr>
            <w:r>
              <w:rPr>
                <w:rFonts w:ascii="宋体" w:eastAsia="宋体" w:hAnsi="宋体" w:cs="宋体"/>
                <w:b/>
                <w:i w:val="0"/>
                <w:color w:val="000000"/>
                <w:position w:val="-1"/>
                <w:u w:val="none"/>
              </w:rPr>
              <w:t>（单位：元）</w:t>
            </w:r>
          </w:p>
        </w:tc>
      </w:tr>
      <w:tr w:rsidTr="00A10263">
        <w:tblPrEx>
          <w:tblW w:w="9060" w:type="dxa"/>
          <w:tblInd w:w="0" w:type="dxa"/>
          <w:tblLook w:val="04A0"/>
        </w:tblPrEx>
        <w:trPr>
          <w:trHeight w:val="431"/>
        </w:trPr>
        <w:tc>
          <w:tcPr>
            <w:tcW w:w="1953" w:type="dxa"/>
            <w:tcBorders>
              <w:top w:val="single" w:sz="4" w:space="0" w:color="auto"/>
              <w:left w:val="single" w:sz="4" w:space="0" w:color="auto"/>
              <w:bottom w:val="single" w:sz="4" w:space="0" w:color="auto"/>
              <w:right w:val="single" w:sz="4" w:space="0" w:color="auto"/>
            </w:tcBorders>
            <w:vAlign w:val="center"/>
            <w:hideMark/>
          </w:tcPr>
          <w:p>
            <w:pPr>
              <w:ind w:left="-1" w:right="-1"/>
              <w:jc w:val="center"/>
            </w:pPr>
            <w:r>
              <w:rPr>
                <w:rFonts w:ascii="宋体" w:eastAsia="宋体" w:hAnsi="宋体" w:cs="宋体"/>
                <w:b w:val="0"/>
                <w:i w:val="0"/>
                <w:color w:val="000000"/>
                <w:spacing w:val="0"/>
                <w:position w:val="-1"/>
                <w:u w:val="none"/>
                <w:vertAlign w:val="baseline"/>
              </w:rPr>
              <w:t>-</w:t>
            </w:r>
          </w:p>
        </w:tc>
        <w:tc>
          <w:tcPr>
            <w:tcW w:w="1188"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543" w:type="dxa"/>
            <w:tcBorders>
              <w:top w:val="single" w:sz="4" w:space="0" w:color="auto"/>
              <w:left w:val="single" w:sz="4" w:space="0" w:color="auto"/>
              <w:bottom w:val="single" w:sz="4" w:space="0" w:color="auto"/>
              <w:right w:val="single" w:sz="4" w:space="0" w:color="auto"/>
            </w:tcBorders>
            <w:vAlign w:val="center"/>
          </w:tcPr>
          <w:p w:rsidR="00A10263">
            <w:pPr>
              <w:widowControl/>
              <w:jc w:val="center"/>
              <w:rPr>
                <w:rFonts w:ascii="宋体" w:hAnsi="宋体"/>
                <w:b/>
              </w:rPr>
            </w:pPr>
          </w:p>
        </w:tc>
        <w:tc>
          <w:tcPr>
            <w:tcW w:w="1123" w:type="dxa"/>
            <w:tcBorders>
              <w:top w:val="single" w:sz="4" w:space="0" w:color="auto"/>
              <w:left w:val="single" w:sz="4" w:space="0" w:color="auto"/>
              <w:bottom w:val="single" w:sz="4" w:space="0" w:color="auto"/>
              <w:right w:val="single" w:sz="4" w:space="0" w:color="auto"/>
            </w:tcBorders>
            <w:vAlign w:val="center"/>
          </w:tcPr>
          <w:p w:rsidR="00A10263">
            <w:pPr>
              <w:widowControl/>
              <w:jc w:val="center"/>
              <w:rPr>
                <w:rFonts w:ascii="宋体" w:hAnsi="宋体"/>
                <w:b/>
              </w:rPr>
            </w:pPr>
          </w:p>
        </w:tc>
        <w:tc>
          <w:tcPr>
            <w:tcW w:w="1133" w:type="dxa"/>
            <w:tcBorders>
              <w:top w:val="single" w:sz="4" w:space="0" w:color="auto"/>
              <w:left w:val="single" w:sz="4" w:space="0" w:color="auto"/>
              <w:bottom w:val="single" w:sz="4" w:space="0" w:color="auto"/>
              <w:right w:val="single" w:sz="4" w:space="0" w:color="auto"/>
            </w:tcBorders>
            <w:vAlign w:val="center"/>
          </w:tcPr>
          <w:p w:rsidR="00A10263">
            <w:pPr>
              <w:widowControl/>
              <w:jc w:val="center"/>
              <w:rPr>
                <w:rFonts w:ascii="宋体" w:hAnsi="宋体"/>
                <w:b/>
              </w:rPr>
            </w:pPr>
          </w:p>
        </w:tc>
        <w:tc>
          <w:tcPr>
            <w:tcW w:w="2120" w:type="dxa"/>
            <w:tcBorders>
              <w:top w:val="single" w:sz="4" w:space="0" w:color="auto"/>
              <w:left w:val="single" w:sz="4" w:space="0" w:color="auto"/>
              <w:bottom w:val="single" w:sz="4" w:space="0" w:color="auto"/>
              <w:right w:val="single" w:sz="4" w:space="0" w:color="auto"/>
            </w:tcBorders>
            <w:vAlign w:val="center"/>
          </w:tcPr>
          <w:p w:rsidR="00A10263">
            <w:pPr>
              <w:widowControl/>
              <w:jc w:val="center"/>
              <w:rPr>
                <w:rFonts w:ascii="宋体" w:hAnsi="宋体"/>
                <w:b/>
              </w:rPr>
            </w:pPr>
          </w:p>
        </w:tc>
      </w:tr>
    </w:tbl>
    <w:p w:rsidR="00A10263" w:rsidP="00A10263">
      <w:pPr>
        <w:rPr>
          <w:shd w:val="clear" w:color="auto" w:fill="FFFFFF"/>
        </w:rPr>
      </w:pPr>
      <w:r>
        <w:rPr>
          <w:rFonts w:ascii="宋体" w:hAnsi="宋体" w:hint="eastAsia"/>
          <w:shd w:val="clear" w:color="auto" w:fill="FFFFFF"/>
        </w:rPr>
        <w:t>注：</w:t>
      </w:r>
    </w:p>
    <w:p w:rsidR="00A10263" w:rsidP="00A10263">
      <w:pPr>
        <w:rPr>
          <w:shd w:val="clear" w:color="auto" w:fill="FFFFFF"/>
        </w:rPr>
      </w:pPr>
      <w:r>
        <w:rPr>
          <w:rFonts w:ascii="宋体" w:hAnsi="宋体" w:hint="eastAsia"/>
          <w:shd w:val="clear" w:color="auto" w:fill="FFFFFF"/>
        </w:rPr>
        <w:t>1.项目剩余融资期限为非标准化债权类资产自报告期末至项目结束之间的期限，如该笔资产在报告期内已到期或已卖出，则显示为“</w:t>
      </w:r>
      <w:r>
        <w:rPr>
          <w:rFonts w:hint="eastAsia"/>
          <w:shd w:val="clear" w:color="auto" w:fill="FFFFFF"/>
        </w:rPr>
        <w:t>-</w:t>
      </w:r>
      <w:r>
        <w:rPr>
          <w:rFonts w:ascii="宋体" w:hAnsi="宋体" w:hint="eastAsia"/>
          <w:shd w:val="clear" w:color="auto" w:fill="FFFFFF"/>
        </w:rPr>
        <w:t>”。</w:t>
      </w:r>
    </w:p>
    <w:p w:rsidR="004D414C" w:rsidRPr="00A10263" w:rsidP="00A10263">
      <w:pPr>
        <w:rPr>
          <w:shd w:val="clear" w:color="auto" w:fill="FFFFFF"/>
        </w:rPr>
      </w:pPr>
      <w:r>
        <w:rPr>
          <w:rFonts w:ascii="宋体" w:hAnsi="宋体" w:hint="eastAsia"/>
          <w:shd w:val="clear" w:color="auto" w:fill="FFFFFF"/>
        </w:rPr>
        <w:t>2.</w:t>
      </w:r>
      <w:r>
        <w:rPr>
          <w:rFonts w:ascii="宋体" w:hAnsi="宋体"/>
          <w:shd w:val="clear" w:color="auto" w:fill="FFFFFF"/>
        </w:rPr>
        <w:t>投资收益为理财产品持有该笔资产期间</w:t>
      </w:r>
      <w:r>
        <w:rPr>
          <w:rFonts w:ascii="宋体" w:hAnsi="宋体" w:hint="eastAsia"/>
        </w:rPr>
        <w:t>的投资收益情况。</w:t>
      </w:r>
    </w:p>
    <w:p w:rsidR="00587ABE" w:rsidP="00587ABE">
      <w:pPr>
        <w:pStyle w:val="Heading2"/>
        <w:rPr>
          <w:sz w:val="24"/>
          <w:szCs w:val="24"/>
          <w:shd w:val="clear" w:color="auto" w:fill="FFFFFF"/>
        </w:rPr>
      </w:pPr>
      <w:bookmarkStart w:id="31" w:name="_Toc256000016"/>
      <w:r>
        <w:rPr>
          <w:b/>
          <w:i w:val="0"/>
          <w:color w:val="000000"/>
          <w:position w:val="-1"/>
          <w:sz w:val="24"/>
          <w:u w:val="none"/>
        </w:rPr>
        <w:t>5.5 报告期末信贷资产收受益权资产信息</w:t>
      </w:r>
      <w:bookmarkEnd w:id="31"/>
    </w:p>
    <w:tbl>
      <w:tblPr>
        <w:tblStyle w:val="TableNormal"/>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37"/>
        <w:gridCol w:w="2762"/>
        <w:gridCol w:w="3504"/>
      </w:tblGrid>
      <w:tr w:rsidTr="00587ABE">
        <w:tblPrEx>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65"/>
        </w:trPr>
        <w:tc>
          <w:tcPr>
            <w:tcW w:w="1227"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587ABE">
            <w:pPr>
              <w:widowControl/>
              <w:jc w:val="center"/>
              <w:rPr>
                <w:rFonts w:ascii="宋体" w:hAnsi="宋体"/>
                <w:b/>
                <w:kern w:val="0"/>
                <w:highlight w:val="lightGray"/>
                <w:shd w:val="clear" w:color="auto" w:fill="FFFFFF"/>
              </w:rPr>
            </w:pPr>
            <w:r>
              <w:rPr>
                <w:rFonts w:ascii="宋体" w:hAnsi="宋体" w:hint="eastAsia"/>
                <w:b/>
              </w:rPr>
              <w:t>资产名称</w:t>
            </w:r>
          </w:p>
        </w:tc>
        <w:tc>
          <w:tcPr>
            <w:tcW w:w="1663"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587ABE">
            <w:pPr>
              <w:widowControl/>
              <w:jc w:val="center"/>
              <w:rPr>
                <w:rFonts w:ascii="宋体" w:hAnsi="宋体"/>
                <w:b/>
                <w:kern w:val="0"/>
                <w:highlight w:val="lightGray"/>
                <w:shd w:val="clear" w:color="auto" w:fill="FFFFFF"/>
              </w:rPr>
            </w:pPr>
            <w:r>
              <w:rPr>
                <w:rFonts w:ascii="宋体" w:hAnsi="宋体" w:hint="eastAsia"/>
                <w:b/>
              </w:rPr>
              <w:t>原始权益人名称</w:t>
            </w:r>
          </w:p>
        </w:tc>
        <w:tc>
          <w:tcPr>
            <w:tcW w:w="2110"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587ABE">
            <w:pPr>
              <w:widowControl/>
              <w:jc w:val="center"/>
              <w:rPr>
                <w:rFonts w:ascii="宋体" w:hAnsi="宋体"/>
                <w:b/>
              </w:rPr>
            </w:pPr>
            <w:r>
              <w:rPr>
                <w:rFonts w:ascii="宋体" w:hAnsi="宋体" w:hint="eastAsia"/>
                <w:b/>
              </w:rPr>
              <w:t>项目剩余融资期限</w:t>
            </w:r>
          </w:p>
          <w:p w:rsidR="00587ABE">
            <w:pPr>
              <w:widowControl/>
              <w:jc w:val="center"/>
              <w:rPr>
                <w:rFonts w:ascii="宋体" w:hAnsi="宋体"/>
                <w:b/>
                <w:kern w:val="0"/>
                <w:highlight w:val="lightGray"/>
                <w:shd w:val="clear" w:color="auto" w:fill="FFFFFF"/>
              </w:rPr>
            </w:pPr>
            <w:r>
              <w:rPr>
                <w:rFonts w:ascii="宋体" w:hAnsi="宋体" w:hint="eastAsia"/>
                <w:b/>
              </w:rPr>
              <w:t>（单位：天）</w:t>
            </w:r>
          </w:p>
        </w:tc>
      </w:tr>
      <w:tr w:rsidTr="00587ABE">
        <w:tblPrEx>
          <w:tblW w:w="5004" w:type="pct"/>
          <w:tblLook w:val="04A0"/>
        </w:tblPrEx>
        <w:trPr>
          <w:trHeight w:val="430"/>
        </w:trPr>
        <w:tc>
          <w:tcPr>
            <w:tcW w:w="1227" w:type="pct"/>
            <w:tcBorders>
              <w:top w:val="single" w:sz="4" w:space="0" w:color="auto"/>
              <w:left w:val="single" w:sz="4" w:space="0" w:color="auto"/>
              <w:bottom w:val="single" w:sz="4" w:space="0" w:color="auto"/>
              <w:right w:val="single" w:sz="4" w:space="0" w:color="auto"/>
            </w:tcBorders>
            <w:vAlign w:val="center"/>
            <w:hideMark/>
          </w:tcPr>
          <w:p>
            <w:pPr>
              <w:ind w:left="-1" w:right="-1"/>
              <w:jc w:val="center"/>
            </w:pPr>
            <w:r>
              <w:rPr>
                <w:rFonts w:ascii="宋体" w:eastAsia="宋体" w:hAnsi="宋体" w:cs="宋体"/>
                <w:b w:val="0"/>
                <w:i w:val="0"/>
                <w:color w:val="000000"/>
                <w:spacing w:val="0"/>
                <w:position w:val="-1"/>
                <w:u w:val="none"/>
                <w:vertAlign w:val="baseline"/>
              </w:rPr>
              <w:t>-</w:t>
            </w:r>
          </w:p>
        </w:tc>
        <w:tc>
          <w:tcPr>
            <w:tcW w:w="1663" w:type="pct"/>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110" w:type="pct"/>
            <w:tcBorders>
              <w:top w:val="single" w:sz="4" w:space="0" w:color="auto"/>
              <w:left w:val="single" w:sz="4" w:space="0" w:color="auto"/>
              <w:bottom w:val="single" w:sz="4" w:space="0" w:color="auto"/>
              <w:right w:val="single" w:sz="4" w:space="0" w:color="auto"/>
            </w:tcBorders>
            <w:vAlign w:val="center"/>
            <w:hideMark/>
          </w:tcPr>
          <w:p>
            <w:pPr>
              <w:ind w:left="-1" w:right="-1"/>
              <w:jc w:val="center"/>
            </w:pPr>
            <w:r>
              <w:rPr>
                <w:rFonts w:ascii="宋体" w:eastAsia="宋体" w:hAnsi="宋体" w:cs="宋体"/>
                <w:b w:val="0"/>
                <w:i w:val="0"/>
                <w:color w:val="000000"/>
                <w:spacing w:val="0"/>
                <w:position w:val="-1"/>
                <w:u w:val="none"/>
                <w:vertAlign w:val="baseline"/>
              </w:rPr>
              <w:t>-</w:t>
            </w:r>
          </w:p>
        </w:tc>
      </w:tr>
    </w:tbl>
    <w:p w:rsidR="008B7BD8" w:rsidRPr="00BB25DC" w:rsidP="00BB25DC">
      <w:pPr>
        <w:pStyle w:val="Heading2"/>
        <w:rPr>
          <w:sz w:val="24"/>
          <w:szCs w:val="24"/>
          <w:shd w:val="clear" w:color="auto" w:fill="FFFFFF"/>
        </w:rPr>
      </w:pPr>
      <w:bookmarkStart w:id="33" w:name="_Toc256000018"/>
      <w:r>
        <w:rPr>
          <w:b/>
          <w:color w:val="000000"/>
          <w:sz w:val="24"/>
        </w:rPr>
        <w:t>5.6 报告期末商品及金融衍生品资产信息</w:t>
      </w:r>
      <w:bookmarkEnd w:id="33"/>
    </w:p>
    <w:p w:rsidR="008B7BD8" w:rsidRPr="00E43FC7" w:rsidP="00BA42D8">
      <w:pPr>
        <w:ind w:firstLine="420" w:firstLineChars="200"/>
        <w:rPr>
          <w:rFonts w:ascii="宋体" w:hAnsi="宋体"/>
          <w:sz w:val="24"/>
          <w:shd w:val="clear" w:color="auto" w:fill="FFFFFF"/>
        </w:rPr>
      </w:pPr>
      <w:r>
        <w:rPr>
          <w:rFonts w:ascii="宋体" w:eastAsia="宋体" w:hAnsi="宋体" w:cs="宋体"/>
          <w:b w:val="0"/>
          <w:color w:val="000000"/>
          <w:sz w:val="24"/>
        </w:rPr>
        <w:t>无</w:t>
      </w:r>
    </w:p>
    <w:p w:rsidR="004B3394" w:rsidRPr="008B7BD8" w:rsidP="008B7BD8">
      <w:pPr>
        <w:rPr>
          <w:rFonts w:ascii="宋体" w:hAnsi="宋体"/>
        </w:rPr>
      </w:pPr>
      <w:r>
        <w:rPr>
          <w:rFonts w:ascii="宋体" w:eastAsia="宋体" w:hAnsi="宋体" w:cs="宋体"/>
          <w:b w:val="0"/>
          <w:color w:val="000000"/>
        </w:rPr>
        <w:t xml:space="preserve"> </w:t>
      </w:r>
    </w:p>
    <w:p w:rsidR="00C873CF">
      <w:bookmarkStart w:id="34" w:name="现金类理财"/>
      <w:bookmarkStart w:id="35" w:name="托管人"/>
    </w:p>
    <w:p>
      <w:pPr>
        <w:pStyle w:val="Heading1"/>
        <w:spacing w:line="360" w:lineRule="auto"/>
        <w:jc w:val="center"/>
        <w:rPr>
          <w:rFonts w:ascii="宋体" w:hAnsi="宋体"/>
          <w:sz w:val="26"/>
          <w:shd w:val="clear" w:color="auto" w:fill="FFFFFF"/>
        </w:rPr>
      </w:pPr>
      <w:bookmarkStart w:id="36" w:name="_Toc256000020"/>
      <w:r>
        <w:rPr>
          <w:rFonts w:ascii="宋体" w:hAnsi="宋体" w:hint="eastAsia"/>
          <w:sz w:val="26"/>
          <w:shd w:val="clear" w:color="auto" w:fill="FFFFFF"/>
        </w:rPr>
        <w:t>§</w:t>
      </w:r>
      <w:r>
        <w:rPr>
          <w:rFonts w:ascii="宋体" w:hAnsi="宋体"/>
          <w:sz w:val="26"/>
          <w:shd w:val="clear" w:color="auto" w:fill="FFFFFF"/>
        </w:rPr>
        <w:t>6</w:t>
      </w:r>
      <w:r>
        <w:rPr>
          <w:rFonts w:ascii="宋体" w:hAnsi="宋体" w:hint="eastAsia"/>
          <w:sz w:val="26"/>
          <w:shd w:val="clear" w:color="auto" w:fill="FFFFFF"/>
        </w:rPr>
        <w:t xml:space="preserve"> 托管人报告</w:t>
      </w:r>
      <w:bookmarkEnd w:id="36"/>
      <w:bookmarkStart w:id="37" w:name="_Toc12382926"/>
      <w:bookmarkEnd w:id="37"/>
    </w:p>
    <w:p>
      <w:pPr>
        <w:pStyle w:val="Heading2"/>
        <w:spacing w:line="360" w:lineRule="auto"/>
        <w:rPr>
          <w:shd w:val="clear" w:color="auto" w:fill="FFFFFF"/>
        </w:rPr>
      </w:pPr>
      <w:bookmarkStart w:id="38" w:name="_Toc256000021"/>
      <w:r>
        <w:rPr>
          <w:shd w:val="clear" w:color="auto" w:fill="FFFFFF"/>
        </w:rPr>
        <w:t>6</w:t>
      </w:r>
      <w:r>
        <w:rPr>
          <w:rFonts w:hint="eastAsia"/>
          <w:shd w:val="clear" w:color="auto" w:fill="FFFFFF"/>
        </w:rPr>
        <w:t>.1 托管人报告</w:t>
      </w:r>
      <w:bookmarkEnd w:id="38"/>
    </w:p>
    <w:p>
      <w:pPr>
        <w:ind w:firstLine="420" w:firstLineChars="200"/>
        <w:rPr>
          <w:rFonts w:ascii="宋体" w:hAnsi="宋体"/>
          <w:sz w:val="24"/>
          <w:highlight w:val="none"/>
          <w:shd w:val="clear" w:color="auto" w:fill="FFFFFF"/>
        </w:rPr>
      </w:pPr>
      <w:r>
        <w:rPr>
          <w:rFonts w:ascii="宋体" w:hAnsi="宋体"/>
          <w:sz w:val="24"/>
          <w:highlight w:val="none"/>
          <w:shd w:val="clear" w:color="auto" w:fill="FFFFFF"/>
        </w:rPr>
        <w:t>6.1.1托管人履职情况</w:t>
      </w:r>
    </w:p>
    <w:p>
      <w:pPr>
        <w:ind w:firstLine="420" w:firstLineChars="200"/>
        <w:rPr>
          <w:rFonts w:ascii="宋体" w:hAnsi="宋体"/>
          <w:sz w:val="24"/>
          <w:highlight w:val="none"/>
          <w:shd w:val="clear" w:color="auto" w:fill="FFFFFF"/>
        </w:rPr>
      </w:pPr>
      <w:r>
        <w:rPr>
          <w:rFonts w:ascii="宋体" w:hAnsi="宋体"/>
          <w:sz w:val="24"/>
          <w:highlight w:val="none"/>
          <w:shd w:val="clear" w:color="auto" w:fill="FFFFFF"/>
        </w:rPr>
        <w:t>（一）托管资产保管</w:t>
      </w:r>
    </w:p>
    <w:p>
      <w:pPr>
        <w:ind w:firstLine="420" w:firstLineChars="200"/>
        <w:rPr>
          <w:rFonts w:ascii="宋体" w:hAnsi="宋体"/>
          <w:sz w:val="24"/>
          <w:highlight w:val="none"/>
          <w:shd w:val="clear" w:color="auto" w:fill="FFFFFF"/>
        </w:rPr>
      </w:pPr>
      <w:r>
        <w:rPr>
          <w:rFonts w:ascii="宋体" w:hAnsi="宋体"/>
          <w:sz w:val="24"/>
          <w:highlight w:val="none"/>
          <w:shd w:val="clear" w:color="auto" w:fill="FFFFFF"/>
        </w:rPr>
        <w:t>托管资产独立于</w:t>
      </w:r>
      <w:r>
        <w:rPr>
          <w:rFonts w:ascii="宋体" w:hAnsi="宋体" w:hint="eastAsia"/>
          <w:sz w:val="24"/>
          <w:highlight w:val="none"/>
          <w:shd w:val="clear" w:color="auto" w:fill="FFFFFF"/>
        </w:rPr>
        <w:t>托管人</w:t>
      </w:r>
      <w:r>
        <w:rPr>
          <w:rFonts w:ascii="宋体" w:hAnsi="宋体"/>
          <w:sz w:val="24"/>
          <w:highlight w:val="none"/>
          <w:shd w:val="clear" w:color="auto" w:fill="FFFFFF"/>
        </w:rPr>
        <w:t>的自有资产及其托管的其他资产，不同投资账户之间的托管资产之间互相独立。</w:t>
      </w:r>
      <w:r>
        <w:rPr>
          <w:rFonts w:ascii="宋体" w:hAnsi="宋体" w:hint="eastAsia"/>
          <w:sz w:val="24"/>
          <w:highlight w:val="none"/>
          <w:shd w:val="clear" w:color="auto" w:fill="FFFFFF"/>
        </w:rPr>
        <w:t>托管人</w:t>
      </w:r>
      <w:r>
        <w:rPr>
          <w:rFonts w:ascii="宋体" w:hAnsi="宋体"/>
          <w:sz w:val="24"/>
          <w:highlight w:val="none"/>
          <w:shd w:val="clear" w:color="auto" w:fill="FFFFFF"/>
        </w:rPr>
        <w:t>按照监管相关规定，完整保存与托管资产有关的会计档案、与托管资产有关的投资记录、指令和合同等。</w:t>
      </w:r>
    </w:p>
    <w:p>
      <w:pPr>
        <w:ind w:firstLine="420" w:firstLineChars="200"/>
        <w:rPr>
          <w:rFonts w:ascii="宋体" w:hAnsi="宋体"/>
          <w:sz w:val="24"/>
          <w:highlight w:val="none"/>
          <w:shd w:val="clear" w:color="auto" w:fill="FFFFFF"/>
        </w:rPr>
      </w:pPr>
      <w:r>
        <w:rPr>
          <w:rFonts w:ascii="宋体" w:hAnsi="宋体"/>
          <w:sz w:val="24"/>
          <w:highlight w:val="none"/>
          <w:shd w:val="clear" w:color="auto" w:fill="FFFFFF"/>
        </w:rPr>
        <w:t>（二）会计核算和估值</w:t>
      </w:r>
    </w:p>
    <w:p>
      <w:pPr>
        <w:ind w:firstLine="420" w:firstLineChars="200"/>
        <w:rPr>
          <w:rFonts w:ascii="宋体" w:hAnsi="宋体"/>
          <w:sz w:val="24"/>
          <w:highlight w:val="none"/>
          <w:shd w:val="clear" w:color="auto" w:fill="FFFFFF"/>
        </w:rPr>
      </w:pPr>
      <w:r>
        <w:rPr>
          <w:rFonts w:ascii="宋体" w:hAnsi="宋体" w:hint="eastAsia"/>
          <w:sz w:val="24"/>
          <w:highlight w:val="none"/>
          <w:shd w:val="clear" w:color="auto" w:fill="FFFFFF"/>
        </w:rPr>
        <w:t>托管人按照与管理人在托管协议中约定的统一记账方法和会计处理原则，独立地设置、登录和保管本产品的全套账册，进行会计核算和资产估值。</w:t>
      </w:r>
    </w:p>
    <w:p>
      <w:pPr>
        <w:ind w:firstLine="420" w:firstLineChars="200"/>
        <w:rPr>
          <w:rFonts w:ascii="宋体" w:hAnsi="宋体"/>
          <w:sz w:val="24"/>
          <w:highlight w:val="none"/>
          <w:shd w:val="clear" w:color="auto" w:fill="FFFFFF"/>
        </w:rPr>
      </w:pPr>
      <w:r>
        <w:rPr>
          <w:rFonts w:ascii="宋体" w:hAnsi="宋体"/>
          <w:sz w:val="24"/>
          <w:highlight w:val="none"/>
          <w:shd w:val="clear" w:color="auto" w:fill="FFFFFF"/>
        </w:rPr>
        <w:t>（三）定期核对有关数据</w:t>
      </w:r>
    </w:p>
    <w:p>
      <w:pPr>
        <w:ind w:firstLine="420" w:firstLineChars="200"/>
        <w:rPr>
          <w:rFonts w:ascii="宋体" w:hAnsi="宋体"/>
          <w:sz w:val="24"/>
          <w:highlight w:val="none"/>
          <w:shd w:val="clear" w:color="auto" w:fill="FFFFFF"/>
        </w:rPr>
      </w:pPr>
      <w:r>
        <w:rPr>
          <w:rFonts w:ascii="宋体" w:hAnsi="宋体" w:hint="eastAsia"/>
          <w:sz w:val="24"/>
          <w:highlight w:val="none"/>
          <w:shd w:val="clear" w:color="auto" w:fill="FFFFFF"/>
        </w:rPr>
        <w:t>托管人根据托管协议约定与管理人定期进行账务核对。</w:t>
      </w:r>
    </w:p>
    <w:p>
      <w:pPr>
        <w:ind w:firstLine="420" w:firstLineChars="200"/>
        <w:rPr>
          <w:rFonts w:ascii="宋体" w:hAnsi="宋体"/>
          <w:sz w:val="24"/>
          <w:highlight w:val="none"/>
          <w:shd w:val="clear" w:color="auto" w:fill="FFFFFF"/>
        </w:rPr>
      </w:pPr>
      <w:r>
        <w:rPr>
          <w:rFonts w:ascii="宋体" w:hAnsi="宋体"/>
          <w:sz w:val="24"/>
          <w:highlight w:val="none"/>
          <w:shd w:val="clear" w:color="auto" w:fill="FFFFFF"/>
        </w:rPr>
        <w:t>（四）投资监督</w:t>
      </w:r>
    </w:p>
    <w:p>
      <w:pPr>
        <w:ind w:firstLine="420" w:firstLineChars="200"/>
        <w:rPr>
          <w:rFonts w:ascii="宋体" w:hAnsi="宋体"/>
          <w:sz w:val="24"/>
          <w:highlight w:val="none"/>
          <w:shd w:val="clear" w:color="auto" w:fill="FFFFFF"/>
        </w:rPr>
      </w:pPr>
      <w:r>
        <w:rPr>
          <w:rFonts w:ascii="宋体" w:hAnsi="宋体" w:hint="eastAsia"/>
          <w:sz w:val="24"/>
          <w:highlight w:val="none"/>
          <w:shd w:val="clear" w:color="auto" w:fill="FFFFFF"/>
        </w:rPr>
        <w:t>托管人根据法规、托管协议以及双方约定的投资监督条款，对投资运作情况进行监督。</w:t>
      </w:r>
    </w:p>
    <w:p>
      <w:pPr>
        <w:ind w:firstLine="420" w:firstLineChars="200"/>
        <w:rPr>
          <w:rFonts w:ascii="宋体" w:hAnsi="宋体"/>
          <w:sz w:val="24"/>
          <w:highlight w:val="none"/>
          <w:shd w:val="clear" w:color="auto" w:fill="FFFFFF"/>
        </w:rPr>
      </w:pPr>
      <w:r>
        <w:rPr>
          <w:rFonts w:ascii="宋体" w:hAnsi="宋体"/>
          <w:sz w:val="24"/>
          <w:highlight w:val="none"/>
          <w:shd w:val="clear" w:color="auto" w:fill="FFFFFF"/>
        </w:rPr>
        <w:t>6.1.2托管人声明</w:t>
      </w:r>
    </w:p>
    <w:p>
      <w:pPr>
        <w:ind w:firstLine="420" w:firstLineChars="200"/>
      </w:pPr>
      <w:r>
        <w:rPr>
          <w:rFonts w:ascii="宋体" w:hAnsi="宋体" w:hint="eastAsia"/>
          <w:sz w:val="24"/>
          <w:highlight w:val="none"/>
          <w:shd w:val="clear" w:color="auto" w:fill="FFFFFF"/>
        </w:rPr>
        <w:t>托管人具备完善的公司治理结构、内部稽核监控制度和风险控制制度，托管人在本产品托管的过程中，严格遵守有关法律法规、托管协议的规定，尽职尽责地履行托管义务并安全保管托管资产。</w:t>
      </w:r>
    </w:p>
    <w:p w:rsidR="00C873CF"/>
    <w:p w:rsidR="00C873CF">
      <w:pPr>
        <w:jc w:val="right"/>
        <w:rPr>
          <w:rFonts w:ascii="宋体" w:hAnsi="宋体"/>
          <w:sz w:val="24"/>
          <w:szCs w:val="24"/>
        </w:rPr>
      </w:pPr>
      <w:r>
        <w:rPr>
          <w:rFonts w:ascii="宋体" w:eastAsia="宋体" w:hAnsi="宋体" w:cs="宋体"/>
          <w:b w:val="0"/>
          <w:i w:val="0"/>
          <w:color w:val="000000"/>
          <w:position w:val="-1"/>
          <w:sz w:val="24"/>
          <w:u w:val="none"/>
        </w:rPr>
        <w:t>招银理财有限责任公司</w:t>
      </w:r>
    </w:p>
    <w:p w:rsidR="00C873CF">
      <w:pPr>
        <w:jc w:val="right"/>
        <w:rPr>
          <w:rFonts w:ascii="宋体" w:hAnsi="宋体"/>
          <w:sz w:val="24"/>
          <w:szCs w:val="24"/>
        </w:rPr>
      </w:pPr>
      <w:r>
        <w:rPr>
          <w:rFonts w:ascii="宋体" w:eastAsia="宋体" w:hAnsi="宋体" w:cs="宋体"/>
          <w:b w:val="0"/>
          <w:i w:val="0"/>
          <w:color w:val="000000"/>
          <w:position w:val="-1"/>
          <w:sz w:val="24"/>
          <w:u w:val="none"/>
        </w:rPr>
        <w:t>2026年06月30日</w:t>
      </w:r>
    </w:p>
    <w:sectPr>
      <w:headerReference w:type="default" r:id="rId5"/>
      <w:footerReference w:type="even" r:id="rId6"/>
      <w:footerReference w:type="default" r:id="rId7"/>
      <w:pgSz w:w="11906" w:h="16838"/>
      <w:pgMar w:top="1440" w:right="1418" w:bottom="1440" w:left="1418" w:header="851" w:footer="567"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1"/>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仿宋_GB2312">
    <w:altName w:val="仿宋"/>
    <w:charset w:val="86"/>
    <w:family w:val="modern"/>
    <w:pitch w:val="fixed"/>
    <w:sig w:usb0="00000000" w:usb1="0000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彩虹小标宋">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Wingdings">
    <w:panose1 w:val="05000000000000000000"/>
    <w:charset w:val="02"/>
    <w:family w:val="auto"/>
    <w:pitch w:val="default"/>
    <w:sig w:usb0="00000000" w:usb1="00000000" w:usb2="00000000" w:usb3="00000000" w:csb0="80000000"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73CF">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C873C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73CF">
    <w:pPr>
      <w:pStyle w:val="Footer"/>
      <w:jc w:val="center"/>
    </w:pPr>
    <w:r>
      <w:t xml:space="preserve"> </w:t>
    </w:r>
    <w:r>
      <w:rPr>
        <w:b/>
        <w:sz w:val="24"/>
        <w:szCs w:val="24"/>
      </w:rPr>
      <w:fldChar w:fldCharType="begin"/>
    </w:r>
    <w:r>
      <w:rPr>
        <w:b/>
      </w:rPr>
      <w:instrText>PAGE</w:instrText>
    </w:r>
    <w:r>
      <w:rPr>
        <w:b/>
        <w:sz w:val="24"/>
        <w:szCs w:val="24"/>
      </w:rPr>
      <w:fldChar w:fldCharType="separate"/>
    </w:r>
    <w:r>
      <w:rPr>
        <w:b/>
      </w:rPr>
      <w:t>9</w:t>
    </w:r>
    <w:r>
      <w:rPr>
        <w:b/>
        <w:sz w:val="24"/>
        <w:szCs w:val="24"/>
      </w:rPr>
      <w:fldChar w:fldCharType="end"/>
    </w:r>
    <w:r>
      <w:t xml:space="preserve"> / </w:t>
    </w:r>
    <w:r>
      <w:rPr>
        <w:b/>
        <w:sz w:val="24"/>
        <w:szCs w:val="24"/>
      </w:rPr>
      <w:fldChar w:fldCharType="begin"/>
    </w:r>
    <w:r>
      <w:rPr>
        <w:b/>
      </w:rPr>
      <w:instrText>NUMPAGES</w:instrText>
    </w:r>
    <w:r>
      <w:rPr>
        <w:b/>
        <w:sz w:val="24"/>
        <w:szCs w:val="24"/>
      </w:rPr>
      <w:fldChar w:fldCharType="separate"/>
    </w:r>
    <w:r>
      <w:rPr>
        <w:b/>
      </w:rPr>
      <w:t>9</w:t>
    </w:r>
    <w:r>
      <w:rPr>
        <w:b/>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73CF">
    <w:pPr>
      <w:pStyle w:val="Header"/>
      <w:jc w:val="left"/>
    </w:pPr>
    <w:r>
      <w:rPr>
        <w:rFonts w:ascii="宋体" w:eastAsia="宋体" w:hAnsi="宋体" w:cs="宋体"/>
        <w:b w:val="0"/>
        <w:i w:val="0"/>
        <w:color w:val="000000"/>
        <w:position w:val="-1"/>
        <w:u w:val="none"/>
      </w:rPr>
      <w:t>招银理财招睿添金7天持有期5号固定收益类理财计划2026年上半年报告（产品代码：120015）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2"/>
    <w:multiLevelType w:val="multilevel"/>
    <w:tmpl w:val="00000002"/>
    <w:lvl w:ilvl="0">
      <w:start w:val="1"/>
      <w:numFmt w:val="decimal"/>
      <w:pStyle w:val="115"/>
      <w:lvlText w:val="%1）"/>
      <w:lvlJc w:val="left"/>
      <w:pPr>
        <w:tabs>
          <w:tab w:val="left" w:pos="360"/>
        </w:tabs>
        <w:ind w:left="360" w:hanging="360"/>
      </w:pPr>
      <w:rPr>
        <w:rFonts w:hint="default"/>
      </w:rPr>
    </w:lvl>
    <w:lvl w:ilvl="1">
      <w:start w:val="1"/>
      <w:numFmt w:val="lowerLetter"/>
      <w:pStyle w:val="2111111"/>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0000000B"/>
    <w:multiLevelType w:val="multilevel"/>
    <w:tmpl w:val="0000000B"/>
    <w:lvl w:ilvl="0">
      <w:start w:val="1"/>
      <w:numFmt w:val="decimal"/>
      <w:pStyle w:val="CharCharCharCharCharCharCharCharChar"/>
      <w:lvlText w:val="%1、"/>
      <w:lvlJc w:val="left"/>
      <w:pPr>
        <w:tabs>
          <w:tab w:val="left" w:pos="780"/>
        </w:tabs>
        <w:ind w:left="780" w:hanging="360"/>
      </w:pPr>
      <w:rPr>
        <w:rFonts w:hint="default"/>
        <w:color w:val="0000FF"/>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
    <w:nsid w:val="051114A2"/>
    <w:multiLevelType w:val="multilevel"/>
    <w:tmpl w:val="051114A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420"/>
  <w:drawingGridHorizontalSpacing w:val="105"/>
  <w:drawingGridVerticalSpacing w:val="156"/>
  <w:displayHorizontalDrawingGridEvery w:val="0"/>
  <w:displayVerticalDrawingGridEvery w:val="2"/>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lsdException w:name="annotation reference" w:uiPriority="99"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kern w:val="2"/>
      <w:sz w:val="21"/>
    </w:rPr>
  </w:style>
  <w:style w:type="paragraph" w:styleId="Heading1">
    <w:name w:val="heading 1"/>
    <w:basedOn w:val="Normal"/>
    <w:next w:val="Normal"/>
    <w:link w:val="10"/>
    <w:qFormat/>
    <w:pPr>
      <w:keepNext/>
      <w:keepLines/>
      <w:spacing w:before="340" w:after="330" w:line="576" w:lineRule="auto"/>
      <w:outlineLvl w:val="0"/>
    </w:pPr>
    <w:rPr>
      <w:b/>
      <w:kern w:val="44"/>
      <w:sz w:val="44"/>
      <w:lang w:val="zh-CN"/>
    </w:rPr>
  </w:style>
  <w:style w:type="paragraph" w:styleId="Heading2">
    <w:name w:val="heading 2"/>
    <w:basedOn w:val="Normal"/>
    <w:next w:val="Normal"/>
    <w:link w:val="2"/>
    <w:qFormat/>
    <w:pPr>
      <w:keepNext/>
      <w:keepLines/>
      <w:spacing w:before="260" w:after="260" w:line="413" w:lineRule="auto"/>
      <w:outlineLvl w:val="1"/>
    </w:pPr>
    <w:rPr>
      <w:rFonts w:ascii="宋体" w:hAnsi="宋体"/>
      <w:b/>
      <w:sz w:val="26"/>
    </w:rPr>
  </w:style>
  <w:style w:type="paragraph" w:styleId="Heading3">
    <w:name w:val="heading 3"/>
    <w:basedOn w:val="Normal"/>
    <w:next w:val="Normal"/>
    <w:qFormat/>
    <w:pPr>
      <w:keepNext/>
      <w:keepLines/>
      <w:spacing w:before="260" w:after="260" w:line="413" w:lineRule="auto"/>
      <w:outlineLvl w:val="2"/>
    </w:pPr>
    <w:rPr>
      <w:rFonts w:ascii="宋体" w:hAnsi="宋体"/>
      <w:b/>
      <w:sz w:val="26"/>
    </w:rPr>
  </w:style>
  <w:style w:type="paragraph" w:styleId="Heading4">
    <w:name w:val="heading 4"/>
    <w:basedOn w:val="Normal"/>
    <w:next w:val="Normal"/>
    <w:qFormat/>
    <w:pPr>
      <w:keepNext/>
      <w:keepLines/>
      <w:spacing w:before="280" w:after="290" w:line="372" w:lineRule="auto"/>
      <w:outlineLvl w:val="3"/>
    </w:pPr>
    <w:rPr>
      <w:rFonts w:ascii="Arial" w:eastAsia="黑体" w:hAnsi="Arial"/>
      <w:b/>
      <w:sz w:val="28"/>
    </w:rPr>
  </w:style>
  <w:style w:type="paragraph" w:styleId="Heading5">
    <w:name w:val="heading 5"/>
    <w:basedOn w:val="Normal"/>
    <w:next w:val="Normal"/>
    <w:qFormat/>
    <w:pPr>
      <w:keepNext/>
      <w:keepLines/>
      <w:spacing w:before="280" w:after="290" w:line="372" w:lineRule="auto"/>
      <w:outlineLvl w:val="4"/>
    </w:pPr>
    <w:rPr>
      <w:b/>
      <w:sz w:val="28"/>
    </w:rPr>
  </w:style>
  <w:style w:type="paragraph" w:styleId="Heading6">
    <w:name w:val="heading 6"/>
    <w:basedOn w:val="Normal"/>
    <w:next w:val="Normal"/>
    <w:qFormat/>
    <w:pPr>
      <w:keepNext/>
      <w:keepLines/>
      <w:spacing w:before="240" w:after="64" w:line="317" w:lineRule="auto"/>
      <w:ind w:left="851" w:firstLine="200" w:firstLineChars="200"/>
      <w:outlineLvl w:val="5"/>
    </w:pPr>
    <w:rPr>
      <w:rFonts w:ascii="Arial" w:eastAsia="黑体" w:hAnsi="Arial"/>
      <w:b/>
      <w:sz w:val="24"/>
    </w:rPr>
  </w:style>
  <w:style w:type="paragraph" w:styleId="Heading7">
    <w:name w:val="heading 7"/>
    <w:basedOn w:val="Normal"/>
    <w:next w:val="Normal"/>
    <w:qFormat/>
    <w:pPr>
      <w:keepNext/>
      <w:keepLines/>
      <w:spacing w:before="240" w:after="64" w:line="317" w:lineRule="auto"/>
      <w:ind w:left="851" w:firstLine="200" w:firstLineChars="200"/>
      <w:outlineLvl w:val="6"/>
    </w:pPr>
    <w:rPr>
      <w:b/>
      <w:sz w:val="24"/>
    </w:rPr>
  </w:style>
  <w:style w:type="paragraph" w:styleId="Heading8">
    <w:name w:val="heading 8"/>
    <w:basedOn w:val="Normal"/>
    <w:next w:val="Normal"/>
    <w:qFormat/>
    <w:pPr>
      <w:keepNext/>
      <w:keepLines/>
      <w:spacing w:before="240" w:after="64" w:line="317" w:lineRule="auto"/>
      <w:ind w:left="851" w:firstLine="200" w:firstLineChars="200"/>
      <w:outlineLvl w:val="7"/>
    </w:pPr>
    <w:rPr>
      <w:rFonts w:ascii="Arial" w:eastAsia="黑体" w:hAnsi="Arial"/>
      <w:sz w:val="24"/>
    </w:rPr>
  </w:style>
  <w:style w:type="paragraph" w:styleId="Heading9">
    <w:name w:val="heading 9"/>
    <w:basedOn w:val="Normal"/>
    <w:next w:val="Normal"/>
    <w:qFormat/>
    <w:pPr>
      <w:keepNext/>
      <w:keepLines/>
      <w:spacing w:before="240" w:after="64" w:line="317" w:lineRule="auto"/>
      <w:ind w:left="851" w:firstLine="200" w:firstLineChars="200"/>
      <w:outlineLvl w:val="8"/>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unhideWhenUsed/>
    <w:qFormat/>
    <w:pPr>
      <w:ind w:left="2520" w:leftChars="1200"/>
    </w:pPr>
    <w:rPr>
      <w:rFonts w:ascii="Calibri" w:hAnsi="Calibri"/>
      <w:szCs w:val="22"/>
    </w:rPr>
  </w:style>
  <w:style w:type="paragraph" w:styleId="DocumentMap">
    <w:name w:val="Document Map"/>
    <w:basedOn w:val="Normal"/>
    <w:pPr>
      <w:shd w:val="clear" w:color="auto" w:fill="000080"/>
    </w:pPr>
  </w:style>
  <w:style w:type="paragraph" w:styleId="CommentText">
    <w:name w:val="annotation text"/>
    <w:basedOn w:val="Normal"/>
    <w:link w:val="a0"/>
    <w:uiPriority w:val="99"/>
    <w:qFormat/>
    <w:pPr>
      <w:jc w:val="left"/>
    </w:pPr>
  </w:style>
  <w:style w:type="paragraph" w:styleId="BodyText">
    <w:name w:val="Body Text"/>
    <w:basedOn w:val="Normal"/>
    <w:link w:val="a"/>
    <w:qFormat/>
    <w:pPr>
      <w:adjustRightInd w:val="0"/>
      <w:snapToGrid w:val="0"/>
      <w:spacing w:line="324" w:lineRule="auto"/>
      <w:ind w:right="28"/>
      <w:jc w:val="left"/>
    </w:pPr>
    <w:rPr>
      <w:rFonts w:ascii="仿宋_GB2312" w:eastAsia="仿宋_GB2312"/>
      <w:kern w:val="0"/>
      <w:sz w:val="28"/>
    </w:rPr>
  </w:style>
  <w:style w:type="paragraph" w:styleId="TOC5">
    <w:name w:val="toc 5"/>
    <w:basedOn w:val="Normal"/>
    <w:next w:val="Normal"/>
    <w:uiPriority w:val="39"/>
    <w:unhideWhenUsed/>
    <w:qFormat/>
    <w:pPr>
      <w:ind w:left="1680" w:leftChars="800"/>
    </w:pPr>
    <w:rPr>
      <w:rFonts w:ascii="Calibri" w:hAnsi="Calibri"/>
      <w:szCs w:val="22"/>
    </w:rPr>
  </w:style>
  <w:style w:type="paragraph" w:styleId="TOC3">
    <w:name w:val="toc 3"/>
    <w:basedOn w:val="Normal"/>
    <w:next w:val="Normal"/>
    <w:uiPriority w:val="39"/>
    <w:unhideWhenUsed/>
    <w:qFormat/>
    <w:pPr>
      <w:ind w:left="840" w:leftChars="400"/>
    </w:pPr>
    <w:rPr>
      <w:rFonts w:ascii="Calibri" w:hAnsi="Calibri"/>
      <w:szCs w:val="22"/>
    </w:rPr>
  </w:style>
  <w:style w:type="paragraph" w:styleId="TOC8">
    <w:name w:val="toc 8"/>
    <w:basedOn w:val="Normal"/>
    <w:next w:val="Normal"/>
    <w:uiPriority w:val="39"/>
    <w:unhideWhenUsed/>
    <w:qFormat/>
    <w:pPr>
      <w:ind w:left="2940" w:leftChars="1400"/>
    </w:pPr>
    <w:rPr>
      <w:rFonts w:ascii="Calibri" w:hAnsi="Calibri"/>
      <w:szCs w:val="22"/>
    </w:rPr>
  </w:style>
  <w:style w:type="paragraph" w:styleId="Date">
    <w:name w:val="Date"/>
    <w:basedOn w:val="Normal"/>
    <w:next w:val="Normal"/>
    <w:qFormat/>
    <w:rPr>
      <w:sz w:val="24"/>
    </w:rPr>
  </w:style>
  <w:style w:type="paragraph" w:styleId="EndnoteText">
    <w:name w:val="endnote text"/>
    <w:basedOn w:val="Normal"/>
    <w:link w:val="a3"/>
    <w:semiHidden/>
    <w:unhideWhenUsed/>
    <w:qFormat/>
    <w:pPr>
      <w:snapToGrid w:val="0"/>
      <w:jc w:val="left"/>
    </w:pPr>
  </w:style>
  <w:style w:type="paragraph" w:styleId="BalloonText">
    <w:name w:val="Balloon Text"/>
    <w:basedOn w:val="Normal"/>
    <w:qFormat/>
    <w:rPr>
      <w:sz w:val="18"/>
    </w:rPr>
  </w:style>
  <w:style w:type="paragraph" w:styleId="Footer">
    <w:name w:val="footer"/>
    <w:basedOn w:val="Normal"/>
    <w:link w:val="a2"/>
    <w:uiPriority w:val="99"/>
    <w:qFormat/>
    <w:pPr>
      <w:tabs>
        <w:tab w:val="center" w:pos="4153"/>
        <w:tab w:val="right" w:pos="8306"/>
      </w:tabs>
      <w:snapToGrid w:val="0"/>
      <w:jc w:val="left"/>
    </w:pPr>
    <w:rPr>
      <w:sz w:val="18"/>
      <w:lang w:val="zh-CN"/>
    </w:rPr>
  </w:style>
  <w:style w:type="paragraph" w:styleId="Header">
    <w:name w:val="header"/>
    <w:basedOn w:val="Normal"/>
    <w:qFormat/>
    <w:pPr>
      <w:pBdr>
        <w:bottom w:val="single" w:sz="6" w:space="1" w:color="auto"/>
      </w:pBdr>
      <w:tabs>
        <w:tab w:val="center" w:pos="4153"/>
        <w:tab w:val="right" w:pos="8306"/>
      </w:tabs>
      <w:snapToGrid w:val="0"/>
      <w:jc w:val="center"/>
    </w:pPr>
    <w:rPr>
      <w:sz w:val="18"/>
    </w:rPr>
  </w:style>
  <w:style w:type="paragraph" w:styleId="TOC1">
    <w:name w:val="toc 1"/>
    <w:basedOn w:val="Normal"/>
    <w:next w:val="Normal"/>
    <w:uiPriority w:val="39"/>
    <w:qFormat/>
  </w:style>
  <w:style w:type="paragraph" w:styleId="TOC4">
    <w:name w:val="toc 4"/>
    <w:basedOn w:val="Normal"/>
    <w:next w:val="Normal"/>
    <w:uiPriority w:val="39"/>
    <w:unhideWhenUsed/>
    <w:qFormat/>
    <w:pPr>
      <w:ind w:left="1260" w:leftChars="600"/>
    </w:pPr>
    <w:rPr>
      <w:rFonts w:ascii="Calibri" w:hAnsi="Calibri"/>
      <w:szCs w:val="22"/>
    </w:rPr>
  </w:style>
  <w:style w:type="paragraph" w:styleId="FootnoteText">
    <w:name w:val="footnote text"/>
    <w:basedOn w:val="Normal"/>
    <w:link w:val="a4"/>
    <w:qFormat/>
    <w:pPr>
      <w:snapToGrid w:val="0"/>
      <w:jc w:val="left"/>
    </w:pPr>
    <w:rPr>
      <w:sz w:val="18"/>
    </w:rPr>
  </w:style>
  <w:style w:type="paragraph" w:styleId="TOC6">
    <w:name w:val="toc 6"/>
    <w:basedOn w:val="Normal"/>
    <w:next w:val="Normal"/>
    <w:uiPriority w:val="39"/>
    <w:unhideWhenUsed/>
    <w:qFormat/>
    <w:pPr>
      <w:ind w:left="2100" w:leftChars="1000"/>
    </w:pPr>
    <w:rPr>
      <w:rFonts w:ascii="Calibri" w:hAnsi="Calibri"/>
      <w:szCs w:val="22"/>
    </w:rPr>
  </w:style>
  <w:style w:type="paragraph" w:styleId="TOC2">
    <w:name w:val="toc 2"/>
    <w:basedOn w:val="Normal"/>
    <w:next w:val="Normal"/>
    <w:uiPriority w:val="39"/>
    <w:qFormat/>
    <w:pPr>
      <w:ind w:left="420" w:leftChars="200"/>
    </w:pPr>
  </w:style>
  <w:style w:type="paragraph" w:styleId="TOC9">
    <w:name w:val="toc 9"/>
    <w:basedOn w:val="Normal"/>
    <w:next w:val="Normal"/>
    <w:uiPriority w:val="39"/>
    <w:unhideWhenUsed/>
    <w:qFormat/>
    <w:pPr>
      <w:ind w:left="3360" w:leftChars="1600"/>
    </w:pPr>
    <w:rPr>
      <w:rFonts w:ascii="Calibri" w:hAnsi="Calibri"/>
      <w:szCs w:val="22"/>
    </w:rPr>
  </w:style>
  <w:style w:type="paragraph" w:styleId="BodyText2">
    <w:name w:val="Body Text 2"/>
    <w:basedOn w:val="Normal"/>
    <w:qFormat/>
    <w:pPr>
      <w:spacing w:after="120" w:line="480" w:lineRule="auto"/>
    </w:pPr>
  </w:style>
  <w:style w:type="paragraph" w:styleId="NormalWeb">
    <w:name w:val="Normal (Web)"/>
    <w:basedOn w:val="Normal"/>
    <w:uiPriority w:val="99"/>
    <w:qFormat/>
    <w:pPr>
      <w:widowControl/>
      <w:spacing w:before="100" w:beforeAutospacing="1" w:after="100" w:afterAutospacing="1"/>
      <w:jc w:val="left"/>
    </w:pPr>
    <w:rPr>
      <w:rFonts w:ascii="宋体" w:hAnsi="宋体"/>
      <w:kern w:val="0"/>
      <w:sz w:val="24"/>
    </w:rPr>
  </w:style>
  <w:style w:type="paragraph" w:styleId="CommentSubject">
    <w:name w:val="annotation subject"/>
    <w:basedOn w:val="CommentText"/>
    <w:next w:val="CommentText"/>
    <w:qFormat/>
    <w:rPr>
      <w: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rPr>
  </w:style>
  <w:style w:type="character" w:styleId="EndnoteReference">
    <w:name w:val="endnote reference"/>
    <w:semiHidden/>
    <w:unhideWhenUsed/>
    <w:qFormat/>
    <w:rPr>
      <w:vertAlign w:val="superscript"/>
    </w:r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uiPriority w:val="99"/>
    <w:qFormat/>
    <w:rPr>
      <w:sz w:val="21"/>
    </w:rPr>
  </w:style>
  <w:style w:type="character" w:styleId="FootnoteReference">
    <w:name w:val="footnote reference"/>
    <w:uiPriority w:val="99"/>
    <w:rPr>
      <w:vertAlign w:val="superscript"/>
    </w:rPr>
  </w:style>
  <w:style w:type="character" w:customStyle="1" w:styleId="a">
    <w:name w:val="正文文本 字符"/>
    <w:link w:val="BodyText"/>
    <w:qFormat/>
    <w:rPr>
      <w:rFonts w:ascii="仿宋_GB2312" w:eastAsia="仿宋_GB2312"/>
      <w:sz w:val="28"/>
      <w:lang w:val="en-US" w:eastAsia="zh-CN"/>
    </w:rPr>
  </w:style>
  <w:style w:type="character" w:customStyle="1" w:styleId="2CharCharChar">
    <w:name w:val="标题 2 Char Char Char"/>
    <w:rPr>
      <w:rFonts w:ascii="Arial" w:eastAsia="宋体" w:hAnsi="Arial"/>
      <w:b/>
      <w:kern w:val="2"/>
      <w:sz w:val="28"/>
      <w:lang w:val="en-US" w:eastAsia="zh-CN"/>
    </w:rPr>
  </w:style>
  <w:style w:type="character" w:customStyle="1" w:styleId="a0">
    <w:name w:val="批注文字 字符"/>
    <w:link w:val="CommentText"/>
    <w:uiPriority w:val="99"/>
    <w:qFormat/>
    <w:rPr>
      <w:rFonts w:eastAsia="宋体"/>
      <w:kern w:val="2"/>
      <w:sz w:val="21"/>
      <w:lang w:val="en-US" w:eastAsia="zh-CN"/>
    </w:rPr>
  </w:style>
  <w:style w:type="character" w:customStyle="1" w:styleId="1">
    <w:name w:val="已访问的超链接1"/>
    <w:rPr>
      <w:color w:val="800080"/>
      <w:u w:val="single"/>
    </w:rPr>
  </w:style>
  <w:style w:type="character" w:customStyle="1" w:styleId="afont1">
    <w:name w:val="afont1"/>
    <w:qFormat/>
    <w:rPr>
      <w:rFonts w:ascii="Arial Narrow" w:hAnsi="Arial Narrow" w:hint="default"/>
      <w:sz w:val="21"/>
    </w:rPr>
  </w:style>
  <w:style w:type="character" w:customStyle="1" w:styleId="2">
    <w:name w:val="标题 2 字符"/>
    <w:link w:val="Heading2"/>
    <w:qFormat/>
    <w:rPr>
      <w:rFonts w:ascii="宋体" w:hAnsi="宋体"/>
      <w:b/>
      <w:kern w:val="2"/>
      <w:sz w:val="26"/>
    </w:rPr>
  </w:style>
  <w:style w:type="character" w:customStyle="1" w:styleId="CharCharCharCharCharCharCharChar">
    <w:name w:val="正文文字 Char Char Char Char Char Char Char Char"/>
    <w:qFormat/>
    <w:rPr>
      <w:rFonts w:ascii="仿宋_GB2312" w:eastAsia="仿宋_GB2312"/>
      <w:sz w:val="28"/>
      <w:lang w:val="en-US" w:eastAsia="zh-CN"/>
    </w:rPr>
  </w:style>
  <w:style w:type="paragraph" w:customStyle="1" w:styleId="115">
    <w:name w:val="样式 标题 1 + 段前: 1.5 行"/>
    <w:basedOn w:val="Normal"/>
    <w:pPr>
      <w:numPr>
        <w:numId w:val="1"/>
      </w:numPr>
    </w:pPr>
    <w:rPr>
      <w:sz w:val="24"/>
    </w:rPr>
  </w:style>
  <w:style w:type="paragraph" w:customStyle="1" w:styleId="CharChar2">
    <w:name w:val="Char Char2"/>
    <w:basedOn w:val="Normal"/>
    <w:qFormat/>
    <w:pPr>
      <w:autoSpaceDE w:val="0"/>
      <w:autoSpaceDN w:val="0"/>
      <w:adjustRightInd w:val="0"/>
      <w:jc w:val="left"/>
      <w:textAlignment w:val="baseline"/>
    </w:pPr>
    <w:rPr>
      <w:rFonts w:ascii="宋体"/>
      <w:kern w:val="0"/>
      <w:sz w:val="34"/>
    </w:rPr>
  </w:style>
  <w:style w:type="paragraph" w:customStyle="1" w:styleId="xl33">
    <w:name w:val="xl33"/>
    <w:basedOn w:val="Normal"/>
    <w:qFormat/>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24"/>
    </w:rPr>
  </w:style>
  <w:style w:type="paragraph" w:customStyle="1" w:styleId="Char">
    <w:name w:val="Char"/>
    <w:basedOn w:val="Normal"/>
    <w:qFormat/>
  </w:style>
  <w:style w:type="paragraph" w:customStyle="1" w:styleId="a1">
    <w:name w:val="简单回函地址"/>
    <w:basedOn w:val="Normal"/>
    <w:qFormat/>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qFormat/>
    <w:pPr>
      <w:widowControl/>
      <w:spacing w:after="160" w:line="240" w:lineRule="exact"/>
      <w:jc w:val="left"/>
    </w:pPr>
    <w:rPr>
      <w:rFonts w:ascii="Verdana" w:eastAsia="Times New Roman" w:hAnsi="Verdana"/>
      <w:kern w:val="0"/>
      <w:sz w:val="20"/>
      <w:lang w:eastAsia="en-US"/>
    </w:rPr>
  </w:style>
  <w:style w:type="paragraph" w:customStyle="1" w:styleId="CharCharCharChar">
    <w:name w:val="Char Char Char Char"/>
    <w:basedOn w:val="Normal"/>
    <w:qFormat/>
    <w:pPr>
      <w:tabs>
        <w:tab w:val="left" w:pos="840"/>
      </w:tabs>
      <w:adjustRightInd w:val="0"/>
      <w:spacing w:line="360" w:lineRule="atLeast"/>
      <w:ind w:left="840" w:hanging="360"/>
      <w:textAlignment w:val="baseline"/>
    </w:pPr>
    <w:rPr>
      <w:sz w:val="24"/>
    </w:rPr>
  </w:style>
  <w:style w:type="paragraph" w:customStyle="1" w:styleId="Style22">
    <w:name w:val="_Style 22"/>
    <w:basedOn w:val="Normal"/>
    <w:qFormat/>
    <w:pPr>
      <w:autoSpaceDE w:val="0"/>
      <w:autoSpaceDN w:val="0"/>
      <w:adjustRightInd w:val="0"/>
      <w:jc w:val="left"/>
      <w:textAlignment w:val="baseline"/>
    </w:pPr>
  </w:style>
  <w:style w:type="paragraph" w:customStyle="1" w:styleId="FormLabel">
    <w:name w:val="Form Label"/>
    <w:basedOn w:val="Normal"/>
    <w:qFormat/>
    <w:pPr>
      <w:widowControl/>
      <w:spacing w:line="280" w:lineRule="exact"/>
      <w:jc w:val="left"/>
    </w:pPr>
    <w:rPr>
      <w:kern w:val="0"/>
      <w:sz w:val="18"/>
      <w:lang w:val="en-GB" w:eastAsia="en-US"/>
    </w:rPr>
  </w:style>
  <w:style w:type="paragraph" w:customStyle="1" w:styleId="CharCharCharCharCharCharCharCharChar">
    <w:name w:val="Char Char Char Char Char Char Char Char Char"/>
    <w:basedOn w:val="Normal"/>
    <w:qFormat/>
    <w:pPr>
      <w:numPr>
        <w:numId w:val="2"/>
      </w:numPr>
    </w:pPr>
    <w:rPr>
      <w:sz w:val="24"/>
    </w:rPr>
  </w:style>
  <w:style w:type="paragraph" w:customStyle="1" w:styleId="Char1CharCharCharChar">
    <w:name w:val="Char1 Char Char Char Char"/>
    <w:basedOn w:val="Normal"/>
    <w:qFormat/>
    <w:pPr>
      <w:widowControl/>
      <w:spacing w:after="160" w:line="240" w:lineRule="exact"/>
      <w:jc w:val="left"/>
    </w:pPr>
    <w:rPr>
      <w:rFonts w:ascii="Verdana" w:hAnsi="Verdana"/>
      <w:kern w:val="0"/>
      <w:sz w:val="20"/>
      <w:lang w:eastAsia="en-US"/>
    </w:rPr>
  </w:style>
  <w:style w:type="paragraph" w:customStyle="1" w:styleId="CharCharCharCharCharChar1CharCharChar">
    <w:name w:val="Char Char Char Char Char Char1 Char Char Char"/>
    <w:basedOn w:val="Normal"/>
    <w:qFormat/>
    <w:pPr>
      <w:autoSpaceDE w:val="0"/>
      <w:autoSpaceDN w:val="0"/>
      <w:adjustRightInd w:val="0"/>
      <w:jc w:val="left"/>
      <w:textAlignment w:val="baseline"/>
    </w:pPr>
    <w:rPr>
      <w:rFonts w:ascii="宋体"/>
      <w:kern w:val="0"/>
      <w:sz w:val="34"/>
    </w:rPr>
  </w:style>
  <w:style w:type="paragraph" w:customStyle="1" w:styleId="2111111">
    <w:name w:val="样式 样式 样式 标题 2 + 段前: 1 行 段后: 1 行1 + 段前: 1 行 段后: 1 行 + 段前: 1 行 段后..."/>
    <w:basedOn w:val="Normal"/>
    <w:qFormat/>
    <w:pPr>
      <w:keepNext/>
      <w:keepLines/>
      <w:numPr>
        <w:ilvl w:val="1"/>
        <w:numId w:val="1"/>
      </w:numPr>
      <w:spacing w:before="447" w:after="447"/>
      <w:outlineLvl w:val="1"/>
    </w:pPr>
    <w:rPr>
      <w:rFonts w:ascii="Arial" w:hAnsi="Arial"/>
      <w:b/>
      <w:sz w:val="28"/>
    </w:rPr>
  </w:style>
  <w:style w:type="paragraph" w:customStyle="1" w:styleId="xl30">
    <w:name w:val="xl30"/>
    <w:basedOn w:val="Normal"/>
    <w:qFormat/>
    <w:pPr>
      <w:widowControl/>
      <w:spacing w:before="100" w:beforeAutospacing="1" w:after="100" w:afterAutospacing="1"/>
      <w:jc w:val="right"/>
    </w:pPr>
    <w:rPr>
      <w:rFonts w:eastAsia="Arial Unicode MS"/>
      <w:kern w:val="0"/>
    </w:rPr>
  </w:style>
  <w:style w:type="paragraph" w:customStyle="1" w:styleId="Char1">
    <w:name w:val="Char1"/>
    <w:basedOn w:val="Normal"/>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xl31">
    <w:name w:val="xl31"/>
    <w:basedOn w:val="Normal"/>
    <w:qFormat/>
    <w:pPr>
      <w:widowControl/>
      <w:spacing w:before="100" w:beforeAutospacing="1" w:after="100" w:afterAutospacing="1"/>
      <w:jc w:val="center"/>
      <w:textAlignment w:val="center"/>
    </w:pPr>
    <w:rPr>
      <w:rFonts w:ascii="宋体" w:hAnsi="宋体"/>
      <w:kern w:val="0"/>
      <w:sz w:val="24"/>
    </w:rPr>
  </w:style>
  <w:style w:type="character" w:customStyle="1" w:styleId="10">
    <w:name w:val="标题 1 字符"/>
    <w:link w:val="Heading1"/>
    <w:qFormat/>
    <w:rPr>
      <w:b/>
      <w:kern w:val="44"/>
      <w:sz w:val="44"/>
    </w:rPr>
  </w:style>
  <w:style w:type="paragraph" w:styleId="ListParagraph">
    <w:name w:val="List Paragraph"/>
    <w:basedOn w:val="Normal"/>
    <w:uiPriority w:val="34"/>
    <w:qFormat/>
    <w:pPr>
      <w:ind w:firstLine="420" w:firstLineChars="200"/>
    </w:pPr>
  </w:style>
  <w:style w:type="paragraph" w:customStyle="1" w:styleId="11">
    <w:name w:val="修订1"/>
    <w:hidden/>
    <w:uiPriority w:val="71"/>
    <w:unhideWhenUsed/>
    <w:qFormat/>
    <w:rPr>
      <w:kern w:val="2"/>
      <w:sz w:val="21"/>
    </w:rPr>
  </w:style>
  <w:style w:type="paragraph" w:customStyle="1" w:styleId="z-1">
    <w:name w:val="z-窗体底端1"/>
    <w:basedOn w:val="Normal"/>
    <w:next w:val="Normal"/>
    <w:link w:val="z-"/>
    <w:uiPriority w:val="99"/>
    <w:semiHidden/>
    <w:unhideWhenUsed/>
    <w:qFormat/>
    <w:pPr>
      <w:widowControl/>
      <w:pBdr>
        <w:top w:val="single" w:sz="6" w:space="1" w:color="auto"/>
      </w:pBdr>
      <w:jc w:val="center"/>
    </w:pPr>
    <w:rPr>
      <w:rFonts w:ascii="Arial" w:hAnsi="Arial"/>
      <w:vanish/>
      <w:kern w:val="0"/>
      <w:sz w:val="16"/>
      <w:szCs w:val="16"/>
      <w:lang w:val="zh-CN"/>
    </w:rPr>
  </w:style>
  <w:style w:type="character" w:customStyle="1" w:styleId="z-">
    <w:name w:val="z-窗体底端 字符"/>
    <w:link w:val="z-1"/>
    <w:uiPriority w:val="99"/>
    <w:semiHidden/>
    <w:qFormat/>
    <w:rPr>
      <w:rFonts w:ascii="Arial" w:hAnsi="Arial" w:cs="Arial"/>
      <w:vanish/>
      <w:sz w:val="16"/>
      <w:szCs w:val="16"/>
    </w:rPr>
  </w:style>
  <w:style w:type="paragraph" w:customStyle="1" w:styleId="CharCharCharCharCharCharCharCharCharCharCharChar">
    <w:name w:val="Char Char Char Char Char Char Char Char Char Char Char Char"/>
    <w:basedOn w:val="Normal"/>
    <w:qFormat/>
    <w:pPr>
      <w:widowControl/>
      <w:spacing w:after="160" w:line="240" w:lineRule="exact"/>
      <w:jc w:val="left"/>
    </w:pPr>
    <w:rPr>
      <w:rFonts w:ascii="Tahoma" w:hAnsi="Tahoma" w:cs="Tahoma"/>
      <w:szCs w:val="21"/>
    </w:rPr>
  </w:style>
  <w:style w:type="character" w:customStyle="1" w:styleId="a2">
    <w:name w:val="页脚 字符"/>
    <w:link w:val="Footer"/>
    <w:uiPriority w:val="99"/>
    <w:qFormat/>
    <w:rPr>
      <w:kern w:val="2"/>
      <w:sz w:val="18"/>
    </w:rPr>
  </w:style>
  <w:style w:type="paragraph" w:customStyle="1" w:styleId="p0">
    <w:name w:val="p0"/>
    <w:basedOn w:val="Normal"/>
    <w:qFormat/>
    <w:pPr>
      <w:widowControl/>
      <w:spacing w:before="100" w:beforeAutospacing="1" w:after="100" w:afterAutospacing="1"/>
      <w:jc w:val="left"/>
    </w:pPr>
    <w:rPr>
      <w:rFonts w:ascii="宋体" w:hAnsi="宋体" w:cs="宋体"/>
      <w:kern w:val="0"/>
      <w:sz w:val="24"/>
      <w:szCs w:val="24"/>
    </w:rPr>
  </w:style>
  <w:style w:type="character" w:customStyle="1" w:styleId="Char10">
    <w:name w:val="批注文字 Char1"/>
    <w:uiPriority w:val="99"/>
    <w:semiHidden/>
    <w:qFormat/>
  </w:style>
  <w:style w:type="character" w:customStyle="1" w:styleId="a3">
    <w:name w:val="尾注文本 字符"/>
    <w:link w:val="EndnoteText"/>
    <w:semiHidden/>
    <w:qFormat/>
    <w:rPr>
      <w:kern w:val="2"/>
      <w:sz w:val="21"/>
    </w:rPr>
  </w:style>
  <w:style w:type="character" w:customStyle="1" w:styleId="12">
    <w:name w:val="批注文字 字符1"/>
    <w:qFormat/>
    <w:rPr>
      <w:kern w:val="2"/>
      <w:sz w:val="21"/>
    </w:rPr>
  </w:style>
  <w:style w:type="character" w:customStyle="1" w:styleId="a4">
    <w:name w:val="脚注文本 字符"/>
    <w:link w:val="FootnoteText"/>
    <w:rPr>
      <w:kern w:val="2"/>
      <w:sz w:val="18"/>
    </w:rPr>
  </w:style>
  <w:style w:type="paragraph" w:customStyle="1" w:styleId="ccb">
    <w:name w:val="ccb正文"/>
    <w:basedOn w:val="Normal"/>
    <w:qFormat/>
    <w:pPr>
      <w:spacing w:line="360" w:lineRule="auto"/>
      <w:ind w:firstLine="560" w:firstLineChars="200"/>
    </w:pPr>
    <w:rPr>
      <w:rFonts w:ascii="彩虹小标宋" w:eastAsia="彩虹小标宋" w:hAnsi="宋体" w:cs="宋体"/>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no"?>
<Relationships xmlns="http://schemas.openxmlformats.org/package/2006/relationships">
<Relationship Id="rId1" Target="settings.xml" Type="http://schemas.openxmlformats.org/officeDocument/2006/relationships/settings"/>
<Relationship Id="rId10" Target="styles.xml" Type="http://schemas.openxmlformats.org/officeDocument/2006/relationships/styles"/>
<Relationship Id="rId2" Target="webSettings.xml" Type="http://schemas.openxmlformats.org/officeDocument/2006/relationships/webSettings"/>
<Relationship Id="rId3" Target="fontTable.xml" Type="http://schemas.openxmlformats.org/officeDocument/2006/relationships/fontTable"/>
<Relationship Id="rId4" Target="../customXml/item1.xml" Type="http://schemas.openxmlformats.org/officeDocument/2006/relationships/customXml"/>
<Relationship Id="rId5" Target="header1.xml" Type="http://schemas.openxmlformats.org/officeDocument/2006/relationships/header"/>
<Relationship Id="rId6" Target="footer1.xml" Type="http://schemas.openxmlformats.org/officeDocument/2006/relationships/footer"/>
<Relationship Id="rId7" Target="footer2.xml" Type="http://schemas.openxmlformats.org/officeDocument/2006/relationships/footer"/>
<Relationship Id="rId8" Target="theme/theme1.xml" Type="http://schemas.openxmlformats.org/officeDocument/2006/relationships/theme"/>
<Relationship Id="rId9" Target="numbering.xml" Type="http://schemas.openxmlformats.org/officeDocument/2006/relationships/numberi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AEEDF-06AC-430F-9779-BF07E3CB4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289</Words>
  <Characters>1652</Characters>
  <Application>Microsoft Office Word</Application>
  <DocSecurity>0</DocSecurity>
  <Lines>13</Lines>
  <Paragraphs>3</Paragraphs>
  <ScaleCrop>false</ScaleCrop>
  <Company>WwW.YlmF.CoM</Company>
  <LinksUpToDate>false</LinksUpToDate>
  <CharactersWithSpaces>1938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2026-03-02T06:01:00Z</dcterms:created>
  <dc:creator>CSRC</dc:creator>
  <cp:lastModifiedBy>胡伟</cp:lastModifiedBy>
  <cp:lastPrinted>2019-06-25T10:32:00Z</cp:lastPrinted>
  <dcterms:modified xsi:type="dcterms:W3CDTF">2026-03-02T06:01:00Z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35B5C29F3E794A559E6C4A059CD92EE0</vt:lpwstr>
  </property>
  <property fmtid="{D5CDD505-2E9C-101B-9397-08002B2CF9AE}" pid="3" name="KSOProductBuildVer">
    <vt:lpwstr>2052-11.8.2.12085</vt:lpwstr>
  </property>
</Properties>
</file>