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C873CF">
      <w:pPr>
        <w:jc w:val="center"/>
        <w:rPr>
          <w:rFonts w:ascii="宋体" w:hAnsi="宋体"/>
          <w:b/>
          <w:color w:val="000000"/>
          <w:sz w:val="32"/>
          <w:szCs w:val="32"/>
          <w:shd w:val="clear" w:color="auto" w:fill="FFFFFF"/>
        </w:rPr>
      </w:pPr>
      <w:bookmarkStart w:id="0" w:name="_GoBack"/>
      <w:bookmarkEnd w:id="0"/>
      <w:r>
        <w:rPr>
          <w:rFonts w:ascii="宋体" w:hAnsi="宋体" w:hint="eastAsia"/>
          <w:b/>
          <w:color w:val="000000"/>
          <w:sz w:val="32"/>
          <w:szCs w:val="32"/>
          <w:shd w:val="clear" w:color="auto" w:fill="FFFFFF"/>
        </w:rPr>
        <w:t xml:space="preserve"> </w:t>
      </w:r>
    </w:p>
    <w:p w:rsidR="00C873CF">
      <w:pPr>
        <w:jc w:val="center"/>
        <w:rPr>
          <w:rFonts w:ascii="宋体" w:hAnsi="宋体"/>
          <w:b/>
          <w:color w:val="000000"/>
          <w:sz w:val="32"/>
          <w:szCs w:val="32"/>
          <w:shd w:val="clear" w:color="auto" w:fill="FFFFFF"/>
        </w:rPr>
      </w:pPr>
    </w:p>
    <w:p w:rsidR="00C873CF">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招银理财招睿鑫鼎滚动持有30天2号固定收益类理财计划</w:t>
      </w:r>
    </w:p>
    <w:p w:rsidR="00C873CF">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2026</w:t>
      </w:r>
      <w:r>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上半年</w:t>
      </w:r>
      <w:r>
        <w:rPr>
          <w:rFonts w:ascii="宋体" w:hAnsi="宋体" w:hint="eastAsia"/>
          <w:b/>
          <w:color w:val="000000"/>
          <w:sz w:val="32"/>
          <w:szCs w:val="32"/>
          <w:shd w:val="clear" w:color="auto" w:fill="FFFFFF"/>
        </w:rPr>
        <w:t>报告</w:t>
      </w:r>
    </w:p>
    <w:p w:rsidR="00C873CF">
      <w:pPr>
        <w:jc w:val="center"/>
        <w:rPr>
          <w:rFonts w:ascii="宋体" w:hAnsi="宋体"/>
          <w:b/>
          <w:sz w:val="32"/>
          <w:szCs w:val="32"/>
          <w:shd w:val="clear" w:color="auto" w:fill="FFFFFF"/>
        </w:rPr>
      </w:pPr>
      <w:r>
        <w:rPr>
          <w:rFonts w:ascii="宋体" w:hAnsi="宋体" w:hint="eastAsia"/>
          <w:b/>
          <w:sz w:val="32"/>
          <w:szCs w:val="32"/>
          <w:shd w:val="clear" w:color="auto" w:fill="FFFFFF"/>
        </w:rPr>
        <w:t>（产品</w:t>
      </w:r>
      <w:r>
        <w:rPr>
          <w:rFonts w:ascii="宋体" w:hAnsi="宋体"/>
          <w:b/>
          <w:sz w:val="32"/>
          <w:szCs w:val="32"/>
          <w:shd w:val="clear" w:color="auto" w:fill="FFFFFF"/>
        </w:rPr>
        <w:t>代码：</w:t>
      </w:r>
      <w:r>
        <w:rPr>
          <w:rFonts w:ascii="宋体" w:eastAsia="宋体" w:hAnsi="宋体" w:cs="宋体"/>
          <w:b/>
          <w:i w:val="0"/>
          <w:color w:val="000000"/>
          <w:position w:val="-1"/>
          <w:sz w:val="32"/>
          <w:u w:val="none"/>
        </w:rPr>
        <w:t>111317</w:t>
      </w:r>
      <w:r>
        <w:rPr>
          <w:rFonts w:ascii="宋体" w:hAnsi="宋体" w:hint="eastAsia"/>
          <w:b/>
          <w:sz w:val="32"/>
          <w:szCs w:val="32"/>
          <w:shd w:val="clear" w:color="auto" w:fill="FFFFFF"/>
        </w:rPr>
        <w:t>）</w:t>
      </w:r>
    </w:p>
    <w:p w:rsidR="00C873CF">
      <w:pPr>
        <w:jc w:val="center"/>
        <w:rPr>
          <w:rFonts w:ascii="宋体" w:hAnsi="宋体"/>
          <w:b/>
          <w:sz w:val="32"/>
          <w:szCs w:val="32"/>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spacing w:line="360" w:lineRule="auto"/>
        <w:ind w:firstLine="1890" w:firstLineChars="900"/>
        <w:rPr>
          <w:rFonts w:ascii="宋体" w:hAnsi="宋体"/>
          <w:sz w:val="24"/>
          <w:shd w:val="clear" w:color="auto" w:fill="FFFFFF"/>
        </w:rPr>
      </w:pPr>
      <w:r>
        <w:rPr>
          <w:rFonts w:ascii="宋体" w:eastAsia="宋体" w:hAnsi="宋体" w:cs="宋体"/>
          <w:b w:val="0"/>
          <w:i w:val="0"/>
          <w:color w:val="000000"/>
          <w:position w:val="-1"/>
          <w:sz w:val="24"/>
          <w:u w:val="none"/>
        </w:rPr>
        <w:t>理财产品管理人：招银理财有限责任公司</w:t>
      </w:r>
    </w:p>
    <w:p w:rsidR="00C873CF">
      <w:pPr>
        <w:spacing w:line="360" w:lineRule="auto"/>
        <w:ind w:firstLine="1890" w:firstLineChars="900"/>
        <w:rPr>
          <w:rFonts w:ascii="宋体" w:hAnsi="宋体"/>
          <w:sz w:val="24"/>
          <w:shd w:val="clear" w:color="auto" w:fill="FFFFFF"/>
        </w:rPr>
      </w:pPr>
      <w:r>
        <w:rPr>
          <w:rFonts w:ascii="宋体" w:eastAsia="宋体" w:hAnsi="宋体" w:cs="宋体"/>
          <w:b w:val="0"/>
          <w:i w:val="0"/>
          <w:color w:val="000000"/>
          <w:position w:val="-1"/>
          <w:sz w:val="24"/>
          <w:u w:val="none"/>
        </w:rPr>
        <w:t>理财产品托管人：招商银行股份有限公司</w:t>
      </w:r>
    </w:p>
    <w:p w:rsidR="00C873CF">
      <w:pPr>
        <w:spacing w:line="360" w:lineRule="auto"/>
        <w:ind w:firstLine="1890" w:firstLineChars="900"/>
        <w:rPr>
          <w:rFonts w:ascii="宋体" w:hAnsi="宋体"/>
          <w:sz w:val="24"/>
          <w:shd w:val="clear" w:color="auto" w:fill="FFFFFF"/>
        </w:rPr>
      </w:pPr>
      <w:r>
        <w:rPr>
          <w:rFonts w:ascii="宋体" w:hAnsi="宋体" w:hint="eastAsia"/>
          <w:sz w:val="24"/>
          <w:shd w:val="clear" w:color="auto" w:fill="FFFFFF"/>
        </w:rPr>
        <w:t xml:space="preserve"> </w:t>
      </w:r>
    </w:p>
    <w:p w:rsidR="00C873CF">
      <w:pPr>
        <w:jc w:val="center"/>
        <w:rPr>
          <w:rFonts w:ascii="宋体" w:hAnsi="宋体"/>
          <w:b/>
          <w:sz w:val="32"/>
          <w:szCs w:val="32"/>
          <w:shd w:val="clear" w:color="auto" w:fill="FFFFFF"/>
        </w:rPr>
      </w:pPr>
    </w:p>
    <w:p w:rsidR="00C873CF">
      <w:pPr>
        <w:jc w:val="center"/>
        <w:rPr>
          <w:rFonts w:ascii="宋体" w:hAnsi="宋体"/>
          <w:b/>
          <w:sz w:val="32"/>
          <w:szCs w:val="32"/>
          <w:shd w:val="clear" w:color="auto" w:fill="FFFFFF"/>
        </w:rPr>
      </w:pPr>
    </w:p>
    <w:p w:rsidR="00C873CF">
      <w:pPr>
        <w:jc w:val="center"/>
        <w:rPr>
          <w:rFonts w:ascii="宋体" w:hAnsi="宋体"/>
          <w:b/>
          <w:sz w:val="32"/>
          <w:szCs w:val="32"/>
          <w:shd w:val="clear" w:color="auto" w:fill="FFFFFF"/>
        </w:rPr>
      </w:pPr>
    </w:p>
    <w:p w:rsidR="00C873CF">
      <w:pPr>
        <w:rPr>
          <w:rFonts w:ascii="宋体" w:hAnsi="宋体"/>
          <w:b/>
          <w:sz w:val="32"/>
          <w:szCs w:val="32"/>
          <w:shd w:val="clear" w:color="auto" w:fill="FFFFFF"/>
        </w:rPr>
      </w:pPr>
    </w:p>
    <w:p w:rsidR="00C873CF">
      <w:pPr>
        <w:jc w:val="center"/>
        <w:rPr>
          <w:rFonts w:ascii="宋体" w:hAnsi="宋体"/>
          <w:b/>
          <w:sz w:val="30"/>
          <w:shd w:val="clear" w:color="auto" w:fill="FFFFFF"/>
        </w:rPr>
      </w:pPr>
      <w:r>
        <w:rPr>
          <w:rFonts w:ascii="宋体" w:hAnsi="宋体" w:hint="eastAsia"/>
          <w:b/>
          <w:sz w:val="30"/>
          <w:shd w:val="clear" w:color="auto" w:fill="FFFFFF"/>
        </w:rPr>
        <w:t>目    录</w:t>
      </w:r>
    </w:p>
    <w:p w:rsidR="00C873CF">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267A1B">
        <w:rPr>
          <w:rStyle w:val="Hyperlink"/>
          <w:rFonts w:ascii="宋体" w:hAnsi="宋体" w:hint="eastAsia"/>
          <w:shd w:val="clear" w:color="auto" w:fill="FFFFFF"/>
          <w:lang w:val="en-US"/>
        </w:rPr>
        <w:t xml:space="preserve">§1 </w:t>
      </w:r>
      <w:r>
        <w:rPr>
          <w:rStyle w:val="Hyperlink"/>
          <w:rFonts w:ascii="宋体" w:hAnsi="宋体" w:hint="eastAsia"/>
          <w:shd w:val="clear" w:color="auto" w:fill="FFFFFF"/>
        </w:rPr>
        <w:t>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_Toc256000007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_Toc256000009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Pr>
          <w:rStyle w:val="Hyperlink"/>
          <w:rFonts w:hint="eastAsia"/>
          <w:shd w:val="clear" w:color="auto" w:fill="FFFFFF"/>
        </w:rPr>
        <w:t>4.2 理财产品报告期内关联交易发生情况</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Pr>
          <w:rStyle w:val="Hyperlink"/>
          <w:rFonts w:ascii="宋体" w:hAnsi="宋体" w:hint="eastAsia"/>
          <w:shd w:val="clear" w:color="auto" w:fill="FFFFFF"/>
        </w:rPr>
        <w:t>§</w:t>
      </w:r>
      <w:r>
        <w:rPr>
          <w:rStyle w:val="Hyperlink"/>
          <w:rFonts w:ascii="宋体" w:hAnsi="宋体"/>
          <w:shd w:val="clear" w:color="auto" w:fill="FFFFFF"/>
        </w:rPr>
        <w:t>5</w:t>
      </w:r>
      <w:r>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position w:val="-1"/>
        </w:rPr>
        <w:t>5.1 期末理财产品资产组合情况</w:t>
      </w:r>
      <w:r>
        <w:rPr>
          <w:rStyle w:val="Hyperlink"/>
        </w:rPr>
        <w:tab/>
      </w:r>
      <w:r>
        <w:fldChar w:fldCharType="begin"/>
      </w:r>
      <w:r>
        <w:rPr>
          <w:rStyle w:val="Hyperlink"/>
        </w:rPr>
        <w:instrText xml:space="preserve"> PAGEREF _Toc256000012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Pr>
          <w:rStyle w:val="Hyperlink"/>
          <w:position w:val="-1"/>
        </w:rPr>
        <w:t>5.2 期末投资组合前十项资产</w:t>
      </w:r>
      <w:r>
        <w:rPr>
          <w:rStyle w:val="Hyperlink"/>
        </w:rPr>
        <w:tab/>
      </w:r>
      <w:r>
        <w:fldChar w:fldCharType="begin"/>
      </w:r>
      <w:r>
        <w:rPr>
          <w:rStyle w:val="Hyperlink"/>
        </w:rPr>
        <w:instrText xml:space="preserve"> PAGEREF _Toc256000013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Pr>
          <w:rStyle w:val="Hyperlink"/>
          <w:position w:val="-1"/>
        </w:rPr>
        <w:t>5.3 报告期末非标准化债权类资产信息</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Pr>
          <w:rStyle w:val="Hyperlink"/>
          <w:position w:val="-1"/>
        </w:rPr>
        <w:t>5.4 报告期内到期的非标准化债权类资产及收益情况</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Pr>
          <w:rStyle w:val="Hyperlink"/>
          <w:position w:val="-1"/>
        </w:rPr>
        <w:t>5.5 报告期末信贷资产收受益权资产信息</w:t>
      </w:r>
      <w:r>
        <w:rPr>
          <w:rStyle w:val="Hyperlink"/>
        </w:rPr>
        <w:tab/>
      </w:r>
      <w:r>
        <w:fldChar w:fldCharType="begin"/>
      </w:r>
      <w:r>
        <w:rPr>
          <w:rStyle w:val="Hyperlink"/>
        </w:rPr>
        <w:instrText xml:space="preserve"> PAGEREF _Toc256000016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Pr>
          <w:rStyle w:val="Hyperlink"/>
        </w:rPr>
        <w:t>5.6 报告期末商品及金融衍生品资产信息</w:t>
      </w:r>
      <w:r>
        <w:rPr>
          <w:rStyle w:val="Hyperlink"/>
        </w:rPr>
        <w:tab/>
      </w:r>
      <w:r>
        <w:fldChar w:fldCharType="begin"/>
      </w:r>
      <w:r>
        <w:rPr>
          <w:rStyle w:val="Hyperlink"/>
        </w:rPr>
        <w:instrText xml:space="preserve"> PAGEREF _Toc256000018 \h </w:instrText>
      </w:r>
      <w:r>
        <w:fldChar w:fldCharType="separate"/>
      </w:r>
      <w:r>
        <w:rPr>
          <w:rStyle w:val="Hyperlink"/>
        </w:rPr>
        <w:t>8</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"_Toc256000020" </w:instrText>
      </w:r>
      <w:r>
        <w:fldChar w:fldCharType="separate"/>
      </w:r>
      <w:r>
        <w:rPr>
          <w:rStyle w:val="Hyperlink"/>
          <w:rFonts w:ascii="宋体" w:hAnsi="宋体" w:hint="eastAsia"/>
          <w:shd w:val="clear" w:color="auto" w:fill="FFFFFF"/>
        </w:rPr>
        <w:t>§</w:t>
      </w:r>
      <w:r>
        <w:rPr>
          <w:rStyle w:val="Hyperlink"/>
          <w:rFonts w:ascii="宋体" w:hAnsi="宋体"/>
          <w:shd w:val="clear" w:color="auto" w:fill="FFFFFF"/>
        </w:rPr>
        <w:t>6</w:t>
      </w:r>
      <w:r>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_Toc256000020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"_Toc256000021" </w:instrText>
      </w:r>
      <w:r>
        <w:fldChar w:fldCharType="separate"/>
      </w:r>
      <w:r>
        <w:rPr>
          <w:rStyle w:val="Hyperlink"/>
          <w:shd w:val="clear" w:color="auto" w:fill="FFFFFF"/>
        </w:rPr>
        <w:t>6</w:t>
      </w:r>
      <w:r>
        <w:rPr>
          <w:rStyle w:val="Hyperlink"/>
          <w:rFonts w:hint="eastAsia"/>
          <w:shd w:val="clear" w:color="auto" w:fill="FFFFFF"/>
        </w:rPr>
        <w:t>.1 托管人报告</w:t>
      </w:r>
      <w:r>
        <w:rPr>
          <w:rStyle w:val="Hyperlink"/>
        </w:rPr>
        <w:tab/>
      </w:r>
      <w:r>
        <w:fldChar w:fldCharType="begin"/>
      </w:r>
      <w:r>
        <w:rPr>
          <w:rStyle w:val="Hyperlink"/>
        </w:rPr>
        <w:instrText xml:space="preserve"> PAGEREF _Toc256000021 \h </w:instrText>
      </w:r>
      <w:r>
        <w:fldChar w:fldCharType="separate"/>
      </w:r>
      <w:r>
        <w:rPr>
          <w:rStyle w:val="Hyperlink"/>
        </w:rPr>
        <w:t>9</w:t>
      </w:r>
      <w:r>
        <w:fldChar w:fldCharType="end"/>
      </w:r>
      <w:r>
        <w:fldChar w:fldCharType="end"/>
      </w:r>
    </w:p>
    <w:p>
      <w:r>
        <w:fldChar w:fldCharType="end"/>
      </w:r>
    </w:p>
    <w:p w:rsidR="00C873CF">
      <w:pPr>
        <w:widowControl/>
        <w:jc w:val="left"/>
        <w:rPr>
          <w:shd w:val="clear" w:color="auto" w:fill="FFFFFF"/>
        </w:rPr>
      </w:pPr>
      <w:r>
        <w:rPr>
          <w:shd w:val="clear" w:color="auto" w:fill="FFFFFF"/>
        </w:rPr>
        <w:br w:type="page"/>
      </w:r>
    </w:p>
    <w:p w:rsidR="00C873CF" w:rsidRPr="00267A1B">
      <w:pPr>
        <w:pStyle w:val="Heading1"/>
        <w:spacing w:line="360" w:lineRule="auto"/>
        <w:jc w:val="center"/>
        <w:rPr>
          <w:rFonts w:ascii="宋体" w:hAnsi="宋体"/>
          <w:sz w:val="24"/>
          <w:szCs w:val="24"/>
          <w:shd w:val="clear" w:color="auto" w:fill="FFFFFF"/>
          <w:lang w:val="en-US"/>
        </w:rPr>
      </w:pPr>
      <w:bookmarkStart w:id="1" w:name="_Toc12382916"/>
      <w:bookmarkStart w:id="2" w:name="_Toc256000000"/>
      <w:r w:rsidRPr="00267A1B">
        <w:rPr>
          <w:rFonts w:ascii="宋体" w:hAnsi="宋体" w:hint="eastAsia"/>
          <w:sz w:val="24"/>
          <w:szCs w:val="24"/>
          <w:shd w:val="clear" w:color="auto" w:fill="FFFFFF"/>
          <w:lang w:val="en-US"/>
        </w:rPr>
        <w:t xml:space="preserve">§1 </w:t>
      </w:r>
      <w:r>
        <w:rPr>
          <w:rFonts w:ascii="宋体" w:hAnsi="宋体" w:hint="eastAsia"/>
          <w:sz w:val="24"/>
          <w:szCs w:val="24"/>
          <w:shd w:val="clear" w:color="auto" w:fill="FFFFFF"/>
        </w:rPr>
        <w:t>重要提示</w:t>
      </w:r>
      <w:bookmarkEnd w:id="2"/>
      <w:bookmarkEnd w:id="1"/>
    </w:p>
    <w:p w:rsidR="00C873CF">
      <w:pPr>
        <w:pStyle w:val="Heading2"/>
        <w:rPr>
          <w:sz w:val="24"/>
          <w:szCs w:val="24"/>
          <w:shd w:val="clear" w:color="auto" w:fill="FFFFFF"/>
        </w:rPr>
      </w:pPr>
      <w:bookmarkStart w:id="3" w:name="_Toc256000001"/>
      <w:r>
        <w:rPr>
          <w:rFonts w:hint="eastAsia"/>
          <w:sz w:val="24"/>
          <w:szCs w:val="24"/>
          <w:shd w:val="clear" w:color="auto" w:fill="FFFFFF"/>
        </w:rPr>
        <w:t>1.1 重要提示</w:t>
      </w:r>
      <w:bookmarkEnd w:id="3"/>
      <w:bookmarkStart w:id="4" w:name="_Toc12382917"/>
      <w:bookmarkEnd w:id="4"/>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tblPrEx>
        <w:trPr>
          <w:trHeight w:val="610"/>
        </w:trPr>
        <w:tc>
          <w:tcPr>
            <w:tcW w:w="8522" w:type="dxa"/>
          </w:tcPr>
          <w:p w:rsidR="00C873CF">
            <w:pPr>
              <w:numPr>
                <w:ilvl w:val="0"/>
                <w:numId w:val="3"/>
              </w:numPr>
              <w:jc w:val="left"/>
              <w:rPr>
                <w:rFonts w:ascii="仿宋" w:eastAsia="仿宋" w:hAnsi="仿宋"/>
                <w:shd w:val="clear" w:color="auto" w:fill="FFFFFF"/>
              </w:rPr>
            </w:pPr>
            <w:r>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招银理财招睿鑫鼎滚动持有30天2号固定收益类理财计划</w:t>
            </w:r>
            <w:r>
              <w:rPr>
                <w:rFonts w:ascii="仿宋" w:eastAsia="仿宋" w:hAnsi="仿宋" w:hint="eastAsia"/>
                <w:shd w:val="clear" w:color="auto" w:fill="FFFFFF"/>
              </w:rPr>
              <w:t>。理财产品</w:t>
            </w:r>
            <w:r>
              <w:rPr>
                <w:rFonts w:ascii="仿宋" w:eastAsia="仿宋" w:hAnsi="仿宋"/>
                <w:shd w:val="clear" w:color="auto" w:fill="FFFFFF"/>
              </w:rPr>
              <w:t>管理人</w:t>
            </w:r>
            <w:r>
              <w:rPr>
                <w:rFonts w:ascii="仿宋" w:eastAsia="仿宋" w:hAnsi="仿宋" w:hint="eastAsia"/>
                <w:shd w:val="clear" w:color="auto" w:fill="FFFFFF"/>
              </w:rPr>
              <w:t>保证</w:t>
            </w:r>
            <w:r>
              <w:rPr>
                <w:rFonts w:ascii="仿宋" w:eastAsia="仿宋" w:hAnsi="仿宋"/>
                <w:shd w:val="clear" w:color="auto" w:fill="FFFFFF"/>
              </w:rPr>
              <w:t>本报告所载资料不存在虚假记载、误导性陈述或重大遗漏。</w:t>
            </w:r>
          </w:p>
          <w:p w:rsidR="00C873CF">
            <w:pPr>
              <w:numPr>
                <w:ilvl w:val="0"/>
                <w:numId w:val="3"/>
              </w:numPr>
              <w:jc w:val="left"/>
              <w:rPr>
                <w:rFonts w:ascii="仿宋" w:eastAsia="仿宋" w:hAnsi="仿宋"/>
                <w:shd w:val="clear" w:color="auto" w:fill="FFFFFF"/>
              </w:rPr>
            </w:pPr>
            <w:r>
              <w:rPr>
                <w:rFonts w:ascii="仿宋" w:eastAsia="仿宋" w:hAnsi="仿宋"/>
                <w:shd w:val="clear" w:color="auto" w:fill="FFFFFF"/>
              </w:rPr>
              <w:t>理财产品管理人承诺以诚实信用、勤勉尽责的原则管理和运用理财产品资产，但不保证理财产品</w:t>
            </w:r>
            <w:r>
              <w:rPr>
                <w:rFonts w:ascii="仿宋" w:eastAsia="仿宋" w:hAnsi="仿宋" w:hint="eastAsia"/>
                <w:shd w:val="clear" w:color="auto" w:fill="FFFFFF"/>
              </w:rPr>
              <w:t>本金和收益</w:t>
            </w:r>
            <w:r>
              <w:rPr>
                <w:rFonts w:ascii="仿宋" w:eastAsia="仿宋" w:hAnsi="仿宋"/>
                <w:shd w:val="clear" w:color="auto" w:fill="FFFFFF"/>
              </w:rPr>
              <w:t>。</w:t>
            </w:r>
          </w:p>
          <w:p w:rsidR="00C873CF">
            <w:pPr>
              <w:numPr>
                <w:ilvl w:val="0"/>
                <w:numId w:val="3"/>
              </w:numPr>
              <w:rPr>
                <w:rFonts w:ascii="仿宋" w:eastAsia="仿宋" w:hAnsi="仿宋"/>
                <w:shd w:val="clear" w:color="auto" w:fill="FFFFFF"/>
              </w:rPr>
            </w:pPr>
            <w:r>
              <w:rPr>
                <w:rFonts w:ascii="仿宋" w:eastAsia="仿宋" w:hAnsi="仿宋" w:hint="eastAsia"/>
                <w:shd w:val="clear" w:color="auto" w:fill="FFFFFF"/>
              </w:rPr>
              <w:t>本产品为净值型产品，业绩表现将随市场波动，具有不确定性，</w:t>
            </w:r>
            <w:r>
              <w:rPr>
                <w:rFonts w:ascii="仿宋" w:eastAsia="仿宋" w:hAnsi="仿宋" w:hint="eastAsia"/>
                <w:b/>
                <w:bCs/>
                <w:shd w:val="clear" w:color="auto" w:fill="FFFFFF"/>
              </w:rPr>
              <w:t>理财产品过往业绩并不代表其未来表现，不等于理财产品实际收益。</w:t>
            </w:r>
            <w:r>
              <w:rPr>
                <w:rFonts w:ascii="仿宋" w:eastAsia="仿宋" w:hAnsi="仿宋" w:hint="eastAsia"/>
                <w:b/>
                <w:shd w:val="clear" w:color="auto" w:fill="FFFFFF"/>
              </w:rPr>
              <w:t>理财非存款、产品有风险、投资须谨慎</w:t>
            </w:r>
            <w:r>
              <w:rPr>
                <w:rFonts w:ascii="仿宋" w:eastAsia="仿宋" w:hAnsi="仿宋" w:hint="eastAsia"/>
                <w:shd w:val="clear" w:color="auto" w:fill="FFFFFF"/>
              </w:rPr>
              <w:t>，投资者在作出投资决策前应仔细阅读本理财产品的销售文件。</w:t>
            </w:r>
          </w:p>
          <w:p w:rsidR="00C873CF">
            <w:pPr>
              <w:numPr>
                <w:ilvl w:val="0"/>
                <w:numId w:val="3"/>
              </w:numPr>
              <w:jc w:val="left"/>
              <w:rPr>
                <w:rFonts w:ascii="仿宋" w:eastAsia="仿宋" w:hAnsi="仿宋"/>
                <w:shd w:val="clear" w:color="auto" w:fill="FFFFFF"/>
              </w:rPr>
            </w:pPr>
            <w:r>
              <w:rPr>
                <w:rFonts w:ascii="仿宋" w:eastAsia="仿宋" w:hAnsi="仿宋" w:cs="仿宋"/>
                <w:b w:val="0"/>
                <w:i w:val="0"/>
                <w:color w:val="000000"/>
                <w:position w:val="-1"/>
                <w:u w:val="none"/>
              </w:rPr>
              <w:t>本报告期自2026年01月01日起至2026年06月30日止。</w:t>
            </w:r>
          </w:p>
          <w:p w:rsidR="00C873CF">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C873CF" w:rsidRPr="00F37D7D" w:rsidP="00F37D7D">
      <w:pPr>
        <w:pStyle w:val="Heading1"/>
        <w:spacing w:line="360" w:lineRule="auto"/>
        <w:jc w:val="center"/>
        <w:rPr>
          <w:rFonts w:ascii="宋体" w:hAnsi="宋体"/>
          <w:sz w:val="24"/>
          <w:szCs w:val="24"/>
          <w:shd w:val="clear" w:color="auto" w:fill="FFFFFF"/>
        </w:rPr>
      </w:pPr>
      <w:bookmarkStart w:id="5" w:name="_Toc256000002"/>
      <w:r>
        <w:rPr>
          <w:rFonts w:ascii="宋体" w:hAnsi="宋体" w:hint="eastAsia"/>
          <w:sz w:val="24"/>
          <w:szCs w:val="24"/>
          <w:shd w:val="clear" w:color="auto" w:fill="FFFFFF"/>
        </w:rPr>
        <w:t>§2 理财产品简介</w:t>
      </w:r>
      <w:bookmarkEnd w:id="5"/>
      <w:bookmarkStart w:id="6" w:name="_Toc194311890"/>
      <w:bookmarkStart w:id="7" w:name="_Toc12382918"/>
      <w:bookmarkStart w:id="8" w:name="基础信息"/>
    </w:p>
    <w:p w:rsidR="00A3418A">
      <w:pPr>
        <w:pStyle w:val="Heading2"/>
        <w:rPr>
          <w:sz w:val="24"/>
          <w:szCs w:val="24"/>
          <w:shd w:val="clear" w:color="auto" w:fill="FFFFFF"/>
        </w:rPr>
      </w:pPr>
      <w:bookmarkStart w:id="9" w:name="_Toc256000003"/>
      <w:r>
        <w:rPr>
          <w:rFonts w:hint="eastAsia"/>
          <w:sz w:val="24"/>
          <w:szCs w:val="24"/>
          <w:shd w:val="clear" w:color="auto" w:fill="FFFFFF"/>
        </w:rPr>
        <w:t>2.1 理财产品基本情况</w:t>
      </w:r>
      <w:bookmarkEnd w:id="9"/>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0"/>
        <w:gridCol w:w="5406"/>
      </w:tblGrid>
      <w:tr w:rsidTr="00CA0B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理财产品产品代码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111317</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理财产品名称</w:t>
            </w:r>
          </w:p>
        </w:tc>
        <w:tc>
          <w:tcPr>
            <w:tcW w:w="3258" w:type="pct"/>
            <w:shd w:val="clear" w:color="auto" w:fill="auto"/>
          </w:tcPr>
          <w:p w:rsidR="00A3418A" w:rsidP="00C841A7">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招银理财招睿鑫鼎滚动持有30天2号固定收益类理财计划</w:t>
            </w:r>
          </w:p>
        </w:tc>
      </w:tr>
      <w:tr w:rsidTr="00CA0B1A">
        <w:tblPrEx>
          <w:tblW w:w="5000" w:type="pct"/>
          <w:tblLook w:val="04A0"/>
        </w:tblPrEx>
        <w:trPr>
          <w:trHeight w:val="259"/>
        </w:trPr>
        <w:tc>
          <w:tcPr>
            <w:tcW w:w="1742" w:type="pct"/>
            <w:shd w:val="clear" w:color="auto" w:fill="auto"/>
            <w:vAlign w:val="center"/>
          </w:tcPr>
          <w:p w:rsidR="00A3418A" w:rsidP="00C841A7">
            <w:pPr>
              <w:rPr>
                <w:rFonts w:ascii="宋体" w:hAnsi="宋体"/>
                <w:szCs w:val="21"/>
                <w:shd w:val="clear" w:color="auto" w:fill="FFFFFF"/>
              </w:rPr>
            </w:pPr>
            <w:r>
              <w:rPr>
                <w:rFonts w:ascii="宋体" w:hAnsi="宋体" w:hint="eastAsia"/>
                <w:szCs w:val="21"/>
                <w:shd w:val="clear" w:color="auto" w:fill="FFFFFF"/>
              </w:rPr>
              <w:t>理财产品登记编码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Z7001625000981</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w:t>
            </w:r>
            <w:r>
              <w:rPr>
                <w:rFonts w:ascii="宋体" w:hAnsi="宋体"/>
                <w:szCs w:val="21"/>
                <w:shd w:val="clear" w:color="auto" w:fill="FFFFFF"/>
              </w:rPr>
              <w:t>投资</w:t>
            </w:r>
            <w:r>
              <w:rPr>
                <w:rFonts w:ascii="宋体" w:hAnsi="宋体" w:hint="eastAsia"/>
                <w:szCs w:val="21"/>
                <w:shd w:val="clear" w:color="auto" w:fill="FFFFFF"/>
              </w:rPr>
              <w:t>类型</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固定收益类</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产品募集</w:t>
            </w:r>
            <w:r>
              <w:rPr>
                <w:rFonts w:ascii="宋体" w:hAnsi="宋体"/>
                <w:szCs w:val="21"/>
                <w:shd w:val="clear" w:color="auto" w:fill="FFFFFF"/>
              </w:rPr>
              <w:t>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理财产品运作方式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开放式净值</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11317F：30.00%×活期存款利率+70.00%×中债0-3个月国债财富（总值）指数收益率；11317N：30.00%×活期存款利率+70.00%×中债0-3个月国债财富（总值）指数收益率（本产品为净值型产品，业绩表现将随市场波动，具有不确定性。）</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比较基准测算说明</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以产品投资固定收益类资产不低于80%为例，根据当前市场环境下大类资产合意配置比例及大类资产收益情况，考虑杠杆和费率等因素，并结合产品投资策略，确定本理财产品业绩比较基准。</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产品风险</w:t>
            </w:r>
            <w:r>
              <w:rPr>
                <w:rFonts w:ascii="宋体" w:hAnsi="宋体"/>
                <w:color w:val="000000"/>
                <w:szCs w:val="21"/>
                <w:shd w:val="clear" w:color="auto" w:fill="FFFFFF"/>
              </w:rPr>
              <w:t>评级</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CA0B1A">
        <w:tblPrEx>
          <w:tblW w:w="5000" w:type="pct"/>
          <w:tblLook w:val="04A0"/>
        </w:tblPrEx>
        <w:tc>
          <w:tcPr>
            <w:tcW w:w="1742" w:type="pct"/>
            <w:shd w:val="clear" w:color="auto" w:fill="auto"/>
          </w:tcPr>
          <w:p w:rsidR="00A3418A" w:rsidP="00C841A7">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100.06</w:t>
            </w:r>
            <w:r w:rsidR="002E0136">
              <w:rPr>
                <w:rFonts w:ascii="宋体" w:hAnsi="宋体"/>
                <w:kern w:val="0"/>
                <w:szCs w:val="21"/>
                <w:shd w:val="clear" w:color="auto" w:fill="FFFFFF"/>
              </w:rPr>
              <w:t>%</w:t>
            </w:r>
            <w:bookmarkStart w:id="10" w:name="杠杆水平"/>
            <w:bookmarkEnd w:id="10"/>
          </w:p>
        </w:tc>
      </w:tr>
      <w:tr w:rsidTr="00CA0B1A">
        <w:tblPrEx>
          <w:tblW w:w="5000" w:type="pct"/>
          <w:tblLook w:val="04A0"/>
        </w:tblPrEx>
        <w:tc>
          <w:tcPr>
            <w:tcW w:w="1742" w:type="pct"/>
            <w:shd w:val="clear" w:color="auto" w:fill="auto"/>
          </w:tcPr>
          <w:p w:rsidR="00A3418A" w:rsidP="00C841A7">
            <w:pPr>
              <w:rPr>
                <w:rFonts w:ascii="宋体" w:hAnsi="宋体"/>
                <w:kern w:val="0"/>
                <w:szCs w:val="21"/>
                <w:shd w:val="clear" w:color="auto" w:fill="FFFFFF"/>
              </w:rPr>
            </w:pPr>
            <w:r>
              <w:rPr>
                <w:rFonts w:ascii="宋体" w:hAnsi="宋体" w:hint="eastAsia"/>
                <w:color w:val="000000"/>
                <w:szCs w:val="21"/>
                <w:shd w:val="clear" w:color="auto" w:fill="FFFFFF"/>
              </w:rPr>
              <w:t>报告期末理财产品份额总额</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20,168,640.97</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理财产品成立日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2025年09月17日</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理财产品计划到期日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2055年09月17日（如遇非工作日/交易日顺延至下一工作日/交易日，具体以产品说明书为准，或在理财计划存续期内理财产品管理人根据本产品说明书约定事由宣布提前或延期终止本理财计划之日。）</w:t>
            </w:r>
          </w:p>
        </w:tc>
      </w:tr>
    </w:tbl>
    <w:p w:rsidR="00A3418A">
      <w:r w:rsidRPr="00E3035C">
        <w:rPr>
          <w:rFonts w:ascii="宋体" w:hAnsi="宋体" w:hint="eastAsia"/>
          <w:shd w:val="clear" w:color="auto" w:fill="FFFFFF"/>
        </w:rPr>
        <w:t>注：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w:t>
      </w:r>
    </w:p>
    <w:p w:rsidP="00F37D7D">
      <w:pPr>
        <w:pStyle w:val="Heading1"/>
        <w:spacing w:line="360" w:lineRule="auto"/>
        <w:jc w:val="center"/>
        <w:rPr>
          <w:rFonts w:ascii="宋体" w:hAnsi="宋体" w:hint="eastAsia"/>
          <w:sz w:val="24"/>
          <w:szCs w:val="24"/>
          <w:shd w:val="clear" w:color="auto" w:fill="FFFFFF"/>
        </w:rPr>
      </w:pPr>
      <w:bookmarkEnd w:id="6"/>
      <w:bookmarkEnd w:id="7"/>
      <w:bookmarkEnd w:id="8"/>
    </w:p>
    <w:p w:rsidR="00C873CF">
      <w:pPr>
        <w:pStyle w:val="Heading1"/>
        <w:spacing w:line="360" w:lineRule="auto"/>
        <w:jc w:val="center"/>
        <w:rPr>
          <w:rFonts w:ascii="宋体" w:hAnsi="宋体"/>
          <w:sz w:val="24"/>
          <w:szCs w:val="24"/>
          <w:shd w:val="clear" w:color="auto" w:fill="FFFFFF"/>
        </w:rPr>
      </w:pPr>
      <w:bookmarkStart w:id="11" w:name="_Toc256000005"/>
      <w:r>
        <w:rPr>
          <w:rFonts w:ascii="宋体" w:hAnsi="宋体" w:hint="eastAsia"/>
          <w:sz w:val="24"/>
          <w:szCs w:val="24"/>
          <w:shd w:val="clear" w:color="auto" w:fill="FFFFFF"/>
        </w:rPr>
        <w:t>§3 理财产品净值表现</w:t>
      </w:r>
      <w:bookmarkEnd w:id="11"/>
      <w:bookmarkStart w:id="12" w:name="_Toc193947511"/>
      <w:bookmarkStart w:id="13" w:name="_Toc12382920"/>
      <w:bookmarkStart w:id="14" w:name="_Toc194312018"/>
      <w:bookmarkEnd w:id="12"/>
      <w:bookmarkEnd w:id="13"/>
      <w:bookmarkEnd w:id="14"/>
    </w:p>
    <w:p w:rsidR="00C873CF">
      <w:pPr>
        <w:pStyle w:val="Heading2"/>
        <w:rPr>
          <w:sz w:val="24"/>
          <w:szCs w:val="24"/>
          <w:shd w:val="clear" w:color="auto" w:fill="FFFFFF"/>
        </w:rPr>
      </w:pPr>
      <w:bookmarkStart w:id="15" w:name="_Toc256000006"/>
      <w:r>
        <w:rPr>
          <w:rFonts w:hint="eastAsia"/>
          <w:sz w:val="24"/>
          <w:szCs w:val="24"/>
          <w:shd w:val="clear" w:color="auto" w:fill="FFFFFF"/>
        </w:rPr>
        <w:t>3.1 截至报告期末产品资产净值及份额净值</w:t>
      </w:r>
      <w:bookmarkEnd w:id="15"/>
    </w:p>
    <w:p w:rsidR="00C873CF">
      <w:pPr>
        <w:adjustRightInd w:val="0"/>
        <w:snapToGrid w:val="0"/>
        <w:ind w:firstLine="420" w:firstLineChars="200"/>
        <w:rPr>
          <w:rFonts w:ascii="宋体" w:hAnsi="宋体"/>
          <w:sz w:val="24"/>
          <w:shd w:val="clear" w:color="auto" w:fill="FFFFFF"/>
        </w:rPr>
      </w:pPr>
      <w:r>
        <w:rPr>
          <w:rFonts w:ascii="宋体" w:eastAsia="宋体" w:hAnsi="宋体" w:cs="宋体"/>
          <w:b w:val="0"/>
          <w:i w:val="0"/>
          <w:color w:val="000000"/>
          <w:position w:val="-1"/>
          <w:sz w:val="24"/>
          <w:u w:val="none"/>
        </w:rPr>
        <w:t>截至本报告期末，产品的资产净值为20,529,897.22元，产品份额净值为1.0179元，产品份额累计净值为1.0179元。</w:t>
      </w:r>
    </w:p>
    <w:p w:rsidR="00C873CF">
      <w:pPr>
        <w:rPr>
          <w:rFonts w:ascii="宋体" w:hAnsi="宋体"/>
          <w:szCs w:val="21"/>
          <w:shd w:val="clear" w:color="auto" w:fill="FFFFFF"/>
        </w:rPr>
      </w:pPr>
      <w:r>
        <w:rPr>
          <w:rFonts w:ascii="宋体" w:hAnsi="宋体" w:hint="eastAsia"/>
          <w:szCs w:val="21"/>
          <w:shd w:val="clear" w:color="auto" w:fill="FFFFFF"/>
        </w:rPr>
        <w:t>注：</w:t>
      </w:r>
      <w:r>
        <w:rPr>
          <w:rFonts w:ascii="宋体" w:hAnsi="宋体"/>
          <w:szCs w:val="21"/>
          <w:shd w:val="clear" w:color="auto" w:fill="FFFFFF"/>
        </w:rPr>
        <w:t>份额净值=资产净值/份额总额；份额累计净值=份额净值+产品成立后份额的累计分红金额。</w:t>
      </w:r>
    </w:p>
    <w:p w:rsidR="00C873CF">
      <w:pPr>
        <w:pStyle w:val="Heading2"/>
        <w:rPr>
          <w:sz w:val="24"/>
          <w:szCs w:val="24"/>
          <w:shd w:val="clear" w:color="auto" w:fill="FFFFFF"/>
        </w:rPr>
      </w:pPr>
      <w:bookmarkStart w:id="16" w:name="_Toc256000007"/>
      <w:r>
        <w:rPr>
          <w:rFonts w:hint="eastAsia"/>
          <w:sz w:val="24"/>
          <w:szCs w:val="24"/>
          <w:shd w:val="clear" w:color="auto" w:fill="FFFFFF"/>
        </w:rPr>
        <w:t>3.2 理财产品年化收益率</w:t>
      </w:r>
      <w:bookmarkEnd w:id="1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992"/>
        <w:gridCol w:w="993"/>
        <w:gridCol w:w="850"/>
        <w:gridCol w:w="851"/>
        <w:gridCol w:w="992"/>
        <w:gridCol w:w="992"/>
        <w:gridCol w:w="992"/>
        <w:gridCol w:w="1134"/>
      </w:tblGrid>
      <w:tr>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841"/>
          <w:jc w:val="center"/>
        </w:trPr>
        <w:tc>
          <w:tcPr>
            <w:tcW w:w="1271"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阶段</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近三个月</w:t>
            </w:r>
          </w:p>
        </w:tc>
        <w:tc>
          <w:tcPr>
            <w:tcW w:w="993"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近六个月</w:t>
            </w:r>
          </w:p>
        </w:tc>
        <w:tc>
          <w:tcPr>
            <w:tcW w:w="850"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近1个会计年度</w:t>
            </w:r>
          </w:p>
        </w:tc>
        <w:tc>
          <w:tcPr>
            <w:tcW w:w="851"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成立至今</w:t>
            </w:r>
          </w:p>
        </w:tc>
      </w:tr>
      <w:tr>
        <w:tblPrEx>
          <w:tblW w:w="9067" w:type="dxa"/>
          <w:jc w:val="center"/>
          <w:tblLayout w:type="fixed"/>
          <w:tblLook w:val="04A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hAnsi="宋体" w:hint="eastAsia"/>
                <w:szCs w:val="21"/>
                <w:shd w:val="clear" w:color="auto" w:fill="FFFFFF"/>
              </w:rPr>
              <w:t>年化</w:t>
            </w:r>
            <w:r>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1.42%</w:t>
            </w:r>
          </w:p>
        </w:tc>
        <w:tc>
          <w:tcPr>
            <w:tcW w:w="993"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1.72%</w:t>
            </w:r>
          </w:p>
        </w:tc>
        <w:tc>
          <w:tcPr>
            <w:tcW w:w="850"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2.28%</w:t>
            </w:r>
          </w:p>
        </w:tc>
      </w:tr>
    </w:tbl>
    <w:p w:rsidR="00C873CF">
      <w:r>
        <w:rPr>
          <w:rFonts w:hint="eastAsia"/>
        </w:rPr>
        <w:t>注：</w:t>
      </w:r>
    </w:p>
    <w:p w:rsidR="00C873C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2025年09月17日</w:t>
      </w:r>
      <w:r>
        <w:rPr>
          <w:rFonts w:ascii="宋体" w:hAnsi="宋体" w:cs="宋体" w:hint="eastAsia"/>
        </w:rPr>
        <w:t>，数据截至</w:t>
      </w:r>
      <w:r>
        <w:rPr>
          <w:rFonts w:ascii="宋体" w:eastAsia="宋体" w:hAnsi="宋体" w:cs="宋体"/>
          <w:b w:val="0"/>
          <w:i w:val="0"/>
          <w:color w:val="000000"/>
          <w:position w:val="-1"/>
          <w:u w:val="none"/>
        </w:rPr>
        <w:t>2026年06月30日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C873CF">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C873CF">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C873CF">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C873CF">
      <w:pPr>
        <w:rPr>
          <w:rFonts w:hAnsi="Cambria Math"/>
          <w:sz w:val="24"/>
        </w:rPr>
      </w:pPr>
      <w:r>
        <w:rPr>
          <w:rFonts w:ascii="宋体" w:hAnsi="宋体" w:cs="宋体" w:hint="eastAsia"/>
          <w:szCs w:val="21"/>
          <w:shd w:val="clear" w:color="auto" w:fill="FFFFFF"/>
        </w:rPr>
        <w:t>t1为区间最后一个自然日，t2为N月前的最后一个自然日。</w:t>
      </w:r>
    </w:p>
    <w:p w:rsidR="00C873CF">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C873CF">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C873CF">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C873CF">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C873CF">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C873CF">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C873CF">
      <w:pPr>
        <w:pStyle w:val="Heading1"/>
        <w:spacing w:line="360" w:lineRule="auto"/>
        <w:jc w:val="center"/>
        <w:rPr>
          <w:rFonts w:ascii="宋体" w:hAnsi="宋体"/>
          <w:sz w:val="24"/>
          <w:szCs w:val="24"/>
          <w:shd w:val="clear" w:color="auto" w:fill="FFFFFF"/>
        </w:rPr>
      </w:pPr>
      <w:bookmarkStart w:id="17" w:name="_Toc256000008"/>
      <w:r>
        <w:rPr>
          <w:rFonts w:ascii="宋体" w:hAnsi="宋体" w:hint="eastAsia"/>
          <w:sz w:val="24"/>
          <w:szCs w:val="24"/>
          <w:shd w:val="clear" w:color="auto" w:fill="FFFFFF"/>
        </w:rPr>
        <w:t>§4 管理人报告</w:t>
      </w:r>
      <w:bookmarkEnd w:id="17"/>
      <w:bookmarkStart w:id="18" w:name="_Toc12382923"/>
      <w:bookmarkEnd w:id="18"/>
    </w:p>
    <w:p w:rsidR="00C873CF">
      <w:pPr>
        <w:pStyle w:val="Heading2"/>
        <w:rPr>
          <w:sz w:val="24"/>
          <w:szCs w:val="24"/>
          <w:shd w:val="clear" w:color="auto" w:fill="FFFFFF"/>
        </w:rPr>
      </w:pPr>
      <w:bookmarkStart w:id="19" w:name="_Toc256000009"/>
      <w:r>
        <w:rPr>
          <w:rFonts w:hint="eastAsia"/>
          <w:sz w:val="24"/>
          <w:szCs w:val="24"/>
          <w:shd w:val="clear" w:color="auto" w:fill="FFFFFF"/>
        </w:rPr>
        <w:t>4.1 管理人对报告期内理财产品的投资策略说明</w:t>
      </w:r>
      <w:bookmarkEnd w:id="19"/>
    </w:p>
    <w:p w:rsidR="00C873CF">
      <w:pPr>
        <w:pStyle w:val="Heading3"/>
        <w:rPr>
          <w:sz w:val="24"/>
          <w:szCs w:val="24"/>
          <w:shd w:val="clear" w:color="auto" w:fill="FFFFFF"/>
        </w:rPr>
      </w:pPr>
      <w:r>
        <w:rPr>
          <w:rFonts w:hint="eastAsia"/>
          <w:sz w:val="24"/>
          <w:szCs w:val="24"/>
          <w:shd w:val="clear" w:color="auto" w:fill="FFFFFF"/>
        </w:rPr>
        <w:t>4.1.1 报告期内理财产品投资策略和运作分析</w:t>
      </w:r>
    </w:p>
    <w:p w:rsidR="00C873CF">
      <w:pPr>
        <w:ind w:firstLine="420" w:firstLineChars="200"/>
        <w:rPr>
          <w:rFonts w:ascii="宋体" w:hAnsi="宋体"/>
          <w:sz w:val="24"/>
          <w:szCs w:val="24"/>
          <w:shd w:val="clear" w:color="auto" w:fill="FFFFFF"/>
        </w:rPr>
      </w:pPr>
      <w:bookmarkStart w:id="20" w:name="运作分析"/>
      <w:r>
        <w:rPr>
          <w:rFonts w:ascii="宋体" w:hAnsi="宋体"/>
          <w:sz w:val="24"/>
          <w:szCs w:val="24"/>
          <w:shd w:val="clear" w:color="auto" w:fill="FFFFFF"/>
        </w:rPr>
        <w:t>上半年国内宏观经济保持整体平稳，但呈现“外热内冷、量稳价升”的结构特征。受全球需求改善影响，出口高景气成为驱动力，但消费与投资复苏弱于预期，内需修复动能偏弱。结构上，外贸订单持续增加带动制造业恢复，民间投资、尤其是地产相关投资依旧低迷，消费领域中高端商品及服务增速不及低端消费，服务业扩张但增长有限。物价方面，PPI环比持续抬升，反映国内工业品价格阶段性回暖，CPI温和上涨但未明显突破。</w:t>
      </w:r>
    </w:p>
    <w:p w:rsidR="00C873CF">
      <w:pPr>
        <w:ind w:firstLine="420" w:firstLineChars="200"/>
        <w:rPr>
          <w:rFonts w:ascii="宋体" w:hAnsi="宋体"/>
          <w:sz w:val="24"/>
          <w:szCs w:val="24"/>
          <w:shd w:val="clear" w:color="auto" w:fill="FFFFFF"/>
        </w:rPr>
      </w:pPr>
      <w:r>
        <w:rPr>
          <w:rFonts w:ascii="宋体" w:hAnsi="宋体"/>
          <w:sz w:val="24"/>
          <w:szCs w:val="24"/>
          <w:shd w:val="clear" w:color="auto" w:fill="FFFFFF"/>
        </w:rPr>
        <w:t>债券市场方面，资金面整体宽裕，央行通过公开市场操作等方式渐次收敛流动性，将短端利率引导回归政策利率区域。上半年基本面偏弱、通胀低位，叠加“资产荒”背景，推动10年国债收益率震荡下行。专项债发行加快，期限结构趋长。信用债表现优于利率债，信用利差收窄。产品投资运作方面，整体以票息资产为主，组合久期保持中性，在年初以来收益率下行的过程中，把握了交易机会，获取了较好的资本利得。</w:t>
      </w:r>
      <w:bookmarkEnd w:id="20"/>
    </w:p>
    <w:p w:rsidR="00C873CF">
      <w:pPr>
        <w:ind w:firstLine="420" w:firstLineChars="200"/>
        <w:rPr>
          <w:rFonts w:ascii="宋体" w:hAnsi="宋体"/>
          <w:sz w:val="24"/>
          <w:shd w:val="clear" w:color="auto" w:fill="FFFFFF"/>
        </w:rPr>
      </w:pPr>
      <w:r>
        <w:rPr>
          <w:rFonts w:ascii="宋体" w:eastAsia="宋体" w:hAnsi="宋体" w:cs="宋体"/>
          <w:b w:val="0"/>
          <w:i w:val="0"/>
          <w:color w:val="000000"/>
          <w:position w:val="-1"/>
          <w:sz w:val="24"/>
          <w:u w:val="none"/>
        </w:rPr>
        <w:t xml:space="preserve"> </w:t>
      </w:r>
    </w:p>
    <w:p w:rsidR="00C873CF">
      <w:pPr>
        <w:pStyle w:val="Heading3"/>
        <w:rPr>
          <w:sz w:val="24"/>
          <w:szCs w:val="24"/>
          <w:highlight w:val="yellow"/>
          <w:shd w:val="clear" w:color="auto" w:fill="FFFFFF"/>
        </w:rPr>
      </w:pPr>
      <w:r>
        <w:rPr>
          <w:rFonts w:hint="eastAsia"/>
          <w:sz w:val="24"/>
          <w:szCs w:val="24"/>
          <w:shd w:val="clear" w:color="auto" w:fill="FFFFFF"/>
        </w:rPr>
        <w:t>4.1.2 报告期内理财产品流动性风险分析</w:t>
      </w:r>
    </w:p>
    <w:p w:rsidR="00C873CF">
      <w:pPr>
        <w:ind w:firstLine="420" w:firstLineChars="200"/>
        <w:rPr>
          <w:sz w:val="24"/>
          <w:shd w:val="clear" w:color="auto" w:fill="FFFFFF"/>
        </w:rPr>
      </w:pPr>
      <w:r>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C873CF">
      <w:pPr>
        <w:ind w:firstLine="420" w:firstLineChars="200"/>
        <w:rPr>
          <w:sz w:val="24"/>
          <w:shd w:val="clear" w:color="auto" w:fill="FFFFFF"/>
        </w:rPr>
      </w:pPr>
      <w:r>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C873CF">
      <w:pPr>
        <w:pStyle w:val="Heading3"/>
        <w:rPr>
          <w:sz w:val="24"/>
          <w:szCs w:val="24"/>
          <w:shd w:val="clear" w:color="auto" w:fill="FFFFFF"/>
        </w:rPr>
      </w:pPr>
      <w:r>
        <w:rPr>
          <w:rFonts w:hint="eastAsia"/>
          <w:sz w:val="24"/>
          <w:szCs w:val="24"/>
          <w:shd w:val="clear" w:color="auto" w:fill="FFFFFF"/>
        </w:rPr>
        <w:t>4.1.</w:t>
      </w:r>
      <w:r>
        <w:rPr>
          <w:sz w:val="24"/>
          <w:szCs w:val="24"/>
          <w:shd w:val="clear" w:color="auto" w:fill="FFFFFF"/>
        </w:rPr>
        <w:t>3</w:t>
      </w:r>
      <w:r>
        <w:rPr>
          <w:rFonts w:hint="eastAsia"/>
          <w:sz w:val="24"/>
          <w:szCs w:val="24"/>
          <w:shd w:val="clear" w:color="auto" w:fill="FFFFFF"/>
        </w:rPr>
        <w:t xml:space="preserve"> 管理人对未来的简要展望</w:t>
      </w:r>
    </w:p>
    <w:p w:rsidR="00C873CF">
      <w:pPr>
        <w:ind w:firstLine="420" w:firstLineChars="200"/>
        <w:rPr>
          <w:rFonts w:ascii="宋体" w:hAnsi="宋体"/>
          <w:sz w:val="24"/>
          <w:szCs w:val="24"/>
          <w:shd w:val="clear" w:color="auto" w:fill="FFFFFF"/>
        </w:rPr>
      </w:pPr>
      <w:bookmarkStart w:id="21" w:name="简要展望"/>
      <w:r>
        <w:rPr>
          <w:rFonts w:ascii="宋体" w:hAnsi="宋体"/>
          <w:sz w:val="24"/>
          <w:szCs w:val="24"/>
          <w:shd w:val="clear" w:color="auto" w:fill="FFFFFF"/>
        </w:rPr>
        <w:t xml:space="preserve">展望下半年，预计出口高景气延续，内需在低基数与政策发力下企稳但修复斜率偏缓；PPI在油价回落下高位回落、CPI温和，名义增速小幅抬升；财政或提速，专项债与新型政策性金融工具加快落地。在经济内生动能偏弱的背景下，货币政策预计维持偏宽松，债券市场整体风险不大，供给高峰带来阶段性上行与波动，收益率曲线维持陡峭形态。收益率整体处于低位、机构依然寻求资产，预计信用利差依然低位震荡。 </w:t>
      </w:r>
    </w:p>
    <w:p w:rsidR="00C873CF">
      <w:pPr>
        <w:ind w:firstLine="420" w:firstLineChars="200"/>
        <w:rPr>
          <w:rFonts w:ascii="宋体" w:hAnsi="宋体"/>
          <w:sz w:val="24"/>
          <w:szCs w:val="24"/>
          <w:shd w:val="clear" w:color="auto" w:fill="FFFFFF"/>
        </w:rPr>
      </w:pPr>
    </w:p>
    <w:p w:rsidR="00C873CF">
      <w:pPr>
        <w:ind w:firstLine="420" w:firstLineChars="200"/>
        <w:rPr>
          <w:rFonts w:ascii="宋体" w:hAnsi="宋体"/>
          <w:sz w:val="24"/>
          <w:szCs w:val="24"/>
          <w:shd w:val="clear" w:color="auto" w:fill="FFFFFF"/>
        </w:rPr>
      </w:pPr>
      <w:r>
        <w:rPr>
          <w:rFonts w:ascii="宋体" w:hAnsi="宋体"/>
          <w:sz w:val="24"/>
          <w:szCs w:val="24"/>
          <w:shd w:val="clear" w:color="auto" w:fill="FFFFFF"/>
        </w:rPr>
        <w:t>投资策略方面，仍以票息为主，精选流动性好的中短端票息资产，稳守底仓收益。当前在信用利差持续压缩至历史低位后，弱资质主体需谨慎控制信用风险，关注个券基本面变化及行业分化。长端利率债严控久期风险，争取抓波段性机会，视市场波动灵活调整，优先保收益稳定。利用市场震荡窗口适度参与高频、趋势及波段操作，侧重结构性交易机会。增加存款等低波资产配置，降低市场波动对产品净值的影响。</w:t>
      </w:r>
      <w:bookmarkEnd w:id="21"/>
    </w:p>
    <w:p w:rsidR="00C873CF">
      <w:pPr>
        <w:pStyle w:val="Heading2"/>
        <w:rPr>
          <w:sz w:val="24"/>
          <w:szCs w:val="24"/>
          <w:shd w:val="clear" w:color="auto" w:fill="FFFFFF"/>
        </w:rPr>
      </w:pPr>
      <w:bookmarkStart w:id="22" w:name="_Toc256000010"/>
      <w:r>
        <w:rPr>
          <w:rFonts w:hint="eastAsia"/>
          <w:sz w:val="24"/>
          <w:szCs w:val="24"/>
          <w:shd w:val="clear" w:color="auto" w:fill="FFFFFF"/>
        </w:rPr>
        <w:t>4.2 理财产品报告期内关联交易发生情况</w:t>
      </w:r>
      <w:bookmarkEnd w:id="22"/>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1本产品投资于关联方发行的证券，投资金额总计</w:t>
      </w:r>
      <w:r>
        <w:rPr>
          <w:rFonts w:ascii="宋体" w:eastAsia="宋体" w:hAnsi="宋体" w:cs="宋体"/>
          <w:b w:val="0"/>
          <w:color w:val="000000"/>
          <w:sz w:val="24"/>
        </w:rPr>
        <w:t>120,335.46</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2本产品投资于关联方承销的证券，投资金额总计</w:t>
      </w:r>
      <w:r>
        <w:rPr>
          <w:rFonts w:ascii="宋体" w:eastAsia="宋体" w:hAnsi="宋体" w:cs="宋体"/>
          <w:b w:val="0"/>
          <w:color w:val="000000"/>
          <w:sz w:val="24"/>
        </w:rPr>
        <w:t>0.00</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sz w:val="24"/>
          <w:szCs w:val="24"/>
          <w:lang w:val="zh-CN"/>
        </w:rPr>
        <w:t>3</w:t>
      </w:r>
      <w:r>
        <w:rPr>
          <w:rFonts w:ascii="宋体" w:hAnsi="宋体" w:hint="eastAsia"/>
          <w:sz w:val="24"/>
          <w:szCs w:val="24"/>
          <w:lang w:val="zh-CN"/>
        </w:rPr>
        <w:t>本产品与关联方发生的服务类关联交易</w:t>
      </w:r>
    </w:p>
    <w:p>
      <w:pPr>
        <w:ind w:firstLine="420" w:firstLineChars="200"/>
        <w:rPr>
          <w:rFonts w:ascii="宋体" w:hAnsi="宋体"/>
          <w:sz w:val="24"/>
          <w:szCs w:val="24"/>
          <w:lang w:val="zh-CN"/>
        </w:rPr>
      </w:pPr>
      <w:r>
        <w:rPr>
          <w:rFonts w:ascii="宋体" w:eastAsia="宋体" w:hAnsi="宋体" w:cs="宋体"/>
          <w:b w:val="0"/>
          <w:color w:val="000000"/>
          <w:sz w:val="24"/>
        </w:rPr>
        <w:t>报告期内，本产品向招商银行股份有限公司实付托管费用3,923.39元。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4本产品发生的其他类关联交易，</w:t>
      </w:r>
      <w:r>
        <w:rPr>
          <w:rFonts w:ascii="宋体" w:hAnsi="宋体" w:hint="eastAsia"/>
          <w:sz w:val="24"/>
          <w:szCs w:val="24"/>
        </w:rPr>
        <w:t>合计关联交易金额为</w:t>
      </w:r>
      <w:r>
        <w:rPr>
          <w:rFonts w:ascii="宋体" w:eastAsia="宋体" w:hAnsi="宋体" w:cs="宋体"/>
          <w:b w:val="0"/>
          <w:color w:val="000000"/>
          <w:sz w:val="24"/>
        </w:rPr>
        <w:t>52,805.57</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5本产品报告期内重大关联交易发生情况</w:t>
      </w:r>
    </w:p>
    <w:p>
      <w:pPr>
        <w:rPr>
          <w:rFonts w:ascii="宋体" w:hAnsi="宋体"/>
          <w:sz w:val="24"/>
          <w:szCs w:val="24"/>
          <w:lang w:val="zh-CN"/>
        </w:rPr>
      </w:pPr>
      <w:r>
        <w:rPr>
          <w:rFonts w:ascii="宋体" w:hAnsi="宋体"/>
          <w:sz w:val="24"/>
          <w:szCs w:val="24"/>
          <w:lang w:val="zh-CN"/>
        </w:rPr>
        <w:tab/>
      </w:r>
      <w:r>
        <w:rPr>
          <w:rFonts w:ascii="宋体" w:eastAsia="宋体" w:hAnsi="宋体" w:cs="宋体"/>
          <w:b w:val="0"/>
          <w:color w:val="000000"/>
          <w:sz w:val="24"/>
        </w:rPr>
        <w:t>报告期内，本产品未发生重大关联交易。</w:t>
      </w:r>
    </w:p>
    <w:p w:rsidR="00C873CF" w:rsidRPr="008674DD" w:rsidP="008674DD">
      <w:pPr>
        <w:pStyle w:val="Heading1"/>
        <w:spacing w:line="360" w:lineRule="auto"/>
        <w:jc w:val="center"/>
        <w:rPr>
          <w:rFonts w:ascii="宋体" w:hAnsi="宋体"/>
          <w:sz w:val="24"/>
          <w:szCs w:val="24"/>
          <w:shd w:val="clear" w:color="auto" w:fill="FFFFFF"/>
        </w:rPr>
      </w:pPr>
      <w:bookmarkStart w:id="24" w:name="_Toc256000011"/>
      <w:r>
        <w:rPr>
          <w:rFonts w:ascii="宋体" w:hAnsi="宋体" w:hint="eastAsia"/>
          <w:sz w:val="24"/>
          <w:szCs w:val="24"/>
          <w:shd w:val="clear" w:color="auto" w:fill="FFFFFF"/>
        </w:rPr>
        <w:t>§</w:t>
      </w:r>
      <w:r>
        <w:rPr>
          <w:rFonts w:ascii="宋体" w:hAnsi="宋体"/>
          <w:sz w:val="24"/>
          <w:szCs w:val="24"/>
          <w:shd w:val="clear" w:color="auto" w:fill="FFFFFF"/>
        </w:rPr>
        <w:t>5</w:t>
      </w:r>
      <w:r>
        <w:rPr>
          <w:rFonts w:ascii="宋体" w:hAnsi="宋体" w:hint="eastAsia"/>
          <w:sz w:val="24"/>
          <w:szCs w:val="24"/>
          <w:shd w:val="clear" w:color="auto" w:fill="FFFFFF"/>
        </w:rPr>
        <w:t xml:space="preserve"> 投资组合报告</w:t>
      </w:r>
      <w:bookmarkEnd w:id="24"/>
      <w:bookmarkStart w:id="25" w:name="_Toc12382928"/>
      <w:bookmarkStart w:id="26" w:name="章节5"/>
    </w:p>
    <w:p w:rsidR="00BC02A8">
      <w:pPr>
        <w:pStyle w:val="Heading2"/>
        <w:rPr>
          <w:b w:val="0"/>
          <w:bCs/>
          <w:sz w:val="24"/>
          <w:szCs w:val="24"/>
          <w:shd w:val="clear" w:color="auto" w:fill="FFFFFF"/>
        </w:rPr>
      </w:pPr>
      <w:bookmarkStart w:id="27" w:name="_Toc256000012"/>
      <w:r>
        <w:rPr>
          <w:b/>
          <w:i w:val="0"/>
          <w:color w:val="000000"/>
          <w:position w:val="-1"/>
          <w:sz w:val="24"/>
          <w:u w:val="none"/>
        </w:rPr>
        <w:t>5.1 期末理财产品资产组合情况</w:t>
      </w:r>
      <w:bookmarkEnd w:id="27"/>
    </w:p>
    <w:tbl>
      <w:tblPr>
        <w:tblStyle w:val="TableNormal"/>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序号</w:t>
            </w:r>
          </w:p>
        </w:tc>
        <w:tc>
          <w:tcPr>
            <w:tcW w:w="1729" w:type="dxa"/>
            <w:vMerge w:val="restart"/>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项目</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穿透前</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穿透后</w:t>
            </w:r>
          </w:p>
        </w:tc>
      </w:tr>
      <w:tr>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BC02A8">
            <w:pPr>
              <w:widowControl/>
              <w:jc w:val="left"/>
              <w:rPr>
                <w:rFonts w:ascii="宋体" w:hAnsi="宋体"/>
                <w:b/>
              </w:rPr>
            </w:pPr>
          </w:p>
        </w:tc>
        <w:tc>
          <w:tcPr>
            <w:tcW w:w="1729" w:type="dxa"/>
            <w:vMerge/>
            <w:tcBorders>
              <w:top w:val="single" w:sz="4" w:space="0" w:color="auto"/>
              <w:left w:val="nil"/>
              <w:bottom w:val="single" w:sz="4" w:space="0" w:color="auto"/>
              <w:right w:val="single" w:sz="4" w:space="0" w:color="auto"/>
            </w:tcBorders>
            <w:vAlign w:val="center"/>
          </w:tcPr>
          <w:p w:rsidR="00BC02A8">
            <w:pPr>
              <w:widowControl/>
              <w:jc w:val="left"/>
              <w:rPr>
                <w:rFonts w:ascii="宋体" w:hAnsi="宋体"/>
                <w:b/>
              </w:rPr>
            </w:pP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现金及银行存款</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5,793,269.74</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28.21</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9,855,048.35</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47.97</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同业存单</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768,342.26</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3.74</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拆放同业及债券买入返售</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债券</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6,196,908.11</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30.17</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9,918,854.21</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48.29</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非标准化债权类资产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6</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权益类投资</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7</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金融衍生品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8</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境外资产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9</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商品类资产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10</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另类资产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公募基金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私募基金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资产管理产品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8,548,226.99</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41.62</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委外投资-协议方式</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其他资产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合计</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20,538,404.84</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20,542,244.82</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r>
    </w:tbl>
    <w:p w:rsidR="00BC02A8">
      <w:pPr>
        <w:rPr>
          <w:rFonts w:ascii="宋体" w:hAnsi="宋体"/>
          <w:shd w:val="clear" w:color="auto" w:fill="FFFFFF"/>
        </w:rPr>
      </w:pPr>
      <w:r>
        <w:rPr>
          <w:rFonts w:ascii="宋体" w:hAnsi="宋体" w:hint="eastAsia"/>
          <w:shd w:val="clear" w:color="auto" w:fill="FFFFFF"/>
        </w:rPr>
        <w:t>注：</w:t>
      </w:r>
    </w:p>
    <w:p w:rsidR="00BC02A8">
      <w:pPr>
        <w:rPr>
          <w:rFonts w:ascii="宋体" w:hAnsi="宋体" w:cs="宋体"/>
        </w:rPr>
      </w:pPr>
      <w:r>
        <w:rPr>
          <w:rFonts w:ascii="宋体" w:hAnsi="宋体" w:cs="宋体" w:hint="eastAsia"/>
        </w:rPr>
        <w:t>1.穿透前列示的为理财产品直接投资并持有的各类资产，包括公募基金、私募基金、资产管理产品、通过签订协议的方式开展委托投资-协议方式持有资产以及其他直接投资并持有的资产的余额及占比，穿透后列示的为理财产品直接持有的各类资产、公募基金（无需穿透），以及对于间接持有的通过私募基金、资产管理产品、委外投资-协议方式投资的资产，即私募基金、资产管理产品、委外投资-协议方式投资需穿透至底层资产，按照理财产品持有比</w:t>
      </w:r>
      <w:r>
        <w:rPr>
          <w:rFonts w:ascii="宋体" w:hAnsi="宋体" w:cs="宋体" w:hint="eastAsia"/>
        </w:rPr>
        <w:t>例计算的底层资产余额及占比。</w:t>
      </w:r>
    </w:p>
    <w:p w:rsidR="00BC02A8">
      <w:pPr>
        <w:rPr>
          <w:rFonts w:ascii="宋体" w:hAnsi="宋体" w:cs="宋体"/>
        </w:rPr>
      </w:pPr>
      <w:r>
        <w:rPr>
          <w:rFonts w:ascii="宋体" w:hAnsi="宋体" w:cs="宋体" w:hint="eastAsia"/>
        </w:rPr>
        <w:t>2.金额中包含资产应计利息、其他应收款项、清算款项和待摊费用。</w:t>
      </w:r>
    </w:p>
    <w:p w:rsidR="00BC02A8">
      <w:pPr>
        <w:rPr>
          <w:rFonts w:ascii="宋体" w:hAnsi="宋体" w:cs="宋体"/>
        </w:rPr>
      </w:pPr>
      <w:r>
        <w:rPr>
          <w:rFonts w:ascii="宋体" w:eastAsia="宋体" w:hAnsi="宋体" w:cs="宋体"/>
          <w:b w:val="0"/>
          <w:i w:val="0"/>
          <w:color w:val="000000"/>
          <w:position w:val="-1"/>
          <w:u w:val="none"/>
        </w:rPr>
        <w:t>3.占产品总资产的比例=资产余额/产品总资产，占比结果保留两位小数（因第二位小数四舍五入，可能存在尾差）。</w:t>
      </w:r>
    </w:p>
    <w:p w:rsidR="00EA25B3">
      <w:pPr>
        <w:pStyle w:val="Heading2"/>
        <w:widowControl/>
        <w:rPr>
          <w:rFonts w:cs="宋体" w:hint="default"/>
          <w:color w:val="333333"/>
          <w:kern w:val="0"/>
          <w:szCs w:val="21"/>
          <w:highlight w:val="lightGray"/>
          <w:shd w:val="clear" w:color="auto" w:fill="FFFFFF"/>
        </w:rPr>
      </w:pPr>
      <w:bookmarkStart w:id="28" w:name="_Toc256000013"/>
      <w:r>
        <w:rPr>
          <w:b/>
          <w:i w:val="0"/>
          <w:color w:val="000000"/>
          <w:position w:val="-1"/>
          <w:sz w:val="24"/>
          <w:u w:val="none"/>
        </w:rPr>
        <w:t>5.2 期末投资组合前十项资产</w:t>
      </w:r>
      <w:bookmarkEnd w:id="28"/>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sidRPr="0090581A">
              <w:rPr>
                <w:rFonts w:ascii="宋体" w:hAnsi="宋体" w:cs="宋体" w:hint="eastAsia"/>
                <w:b/>
                <w:szCs w:val="21"/>
              </w:rPr>
              <w:t>序号</w:t>
            </w:r>
          </w:p>
        </w:tc>
        <w:tc>
          <w:tcPr>
            <w:tcW w:w="238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资产名称</w:t>
            </w:r>
          </w:p>
        </w:tc>
        <w:tc>
          <w:tcPr>
            <w:tcW w:w="304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资产余额</w:t>
            </w:r>
          </w:p>
          <w:p w:rsidR="00EA25B3">
            <w:pPr>
              <w:widowControl/>
              <w:jc w:val="center"/>
              <w:rPr>
                <w:rFonts w:ascii="宋体" w:hAnsi="宋体" w:cs="宋体"/>
                <w:b/>
                <w:szCs w:val="21"/>
              </w:rPr>
            </w:pPr>
            <w:r>
              <w:rPr>
                <w:rFonts w:ascii="宋体" w:hAnsi="宋体" w:cs="宋体" w:hint="eastAsia"/>
                <w:b/>
                <w:szCs w:val="21"/>
              </w:rPr>
              <w:t>（单位：</w:t>
            </w:r>
            <w:r>
              <w:rPr>
                <w:rFonts w:ascii="宋体" w:eastAsia="宋体" w:hAnsi="宋体" w:cs="宋体"/>
                <w:b/>
                <w:i w:val="0"/>
                <w:color w:val="000000"/>
                <w:position w:val="-1"/>
                <w:u w:val="none"/>
              </w:rPr>
              <w:t>元</w:t>
            </w:r>
            <w:r>
              <w:rPr>
                <w:rFonts w:ascii="宋体" w:hAnsi="宋体" w:cs="宋体" w:hint="eastAsia"/>
                <w:b/>
                <w:szCs w:val="21"/>
              </w:rPr>
              <w:t>）</w:t>
            </w:r>
          </w:p>
        </w:tc>
        <w:tc>
          <w:tcPr>
            <w:tcW w:w="1631" w:type="dxa"/>
            <w:shd w:val="clear" w:color="auto" w:fill="BFBFBF"/>
            <w:vAlign w:val="center"/>
          </w:tcPr>
          <w:p w:rsidR="00EA25B3">
            <w:pPr>
              <w:widowControl/>
              <w:jc w:val="center"/>
              <w:rPr>
                <w:rFonts w:ascii="宋体" w:hAnsi="宋体" w:cs="宋体"/>
                <w:b/>
                <w:szCs w:val="21"/>
              </w:rPr>
            </w:pPr>
            <w:r>
              <w:rPr>
                <w:rFonts w:ascii="宋体" w:hAnsi="宋体" w:cs="宋体" w:hint="eastAsia"/>
                <w:b/>
                <w:szCs w:val="21"/>
              </w:rPr>
              <w:t>占产品净资产</w:t>
            </w:r>
          </w:p>
          <w:p w:rsidR="00EA25B3">
            <w:pPr>
              <w:widowControl/>
              <w:jc w:val="center"/>
              <w:rPr>
                <w:rFonts w:ascii="宋体" w:hAnsi="宋体" w:cs="宋体"/>
                <w:b/>
                <w:color w:val="333333"/>
                <w:kern w:val="0"/>
                <w:szCs w:val="21"/>
                <w:highlight w:val="lightGray"/>
                <w:shd w:val="clear" w:color="auto" w:fill="FFFFFF"/>
              </w:rPr>
            </w:pPr>
            <w:r>
              <w:rPr>
                <w:rFonts w:ascii="宋体" w:hAnsi="宋体" w:cs="宋体"/>
                <w:b/>
                <w:szCs w:val="21"/>
              </w:rPr>
              <w:t>的</w:t>
            </w:r>
            <w:r>
              <w:rPr>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21兴业银行二级01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2,066,821.89</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10.07</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21建设银行二级01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2,065,732.36</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10.06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21邮储银行二级01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2,064,353.86</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10.06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定期存款1240387770104001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1,290,379.48</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6.29</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定期存款1240387770104002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1,160,906.66</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5.65</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定期存款1240387770102003</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653,640.48</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3.18</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定期存款1240387770102002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326,820.24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1.59</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定期存款1240387770102001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326,820.24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1.59</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26农业银行CD076</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122,826.02</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0.60</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26工商银行CD033</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122,744.15</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0.60</w:t>
            </w:r>
          </w:p>
        </w:tc>
      </w:tr>
    </w:tbl>
    <w:p w:rsidR="00EA25B3" w:rsidP="005016D1">
      <w:pPr>
        <w:rPr>
          <w:rFonts w:ascii="宋体" w:hAnsi="宋体"/>
          <w:szCs w:val="21"/>
          <w:shd w:val="clear" w:color="auto" w:fill="FFFFFF"/>
        </w:rPr>
      </w:pPr>
      <w:r>
        <w:rPr>
          <w:rFonts w:ascii="宋体" w:hAnsi="宋体" w:hint="eastAsia"/>
          <w:szCs w:val="21"/>
          <w:shd w:val="clear" w:color="auto" w:fill="FFFFFF"/>
        </w:rPr>
        <w:t>注：</w:t>
      </w:r>
    </w:p>
    <w:p w:rsidR="005016D1" w:rsidRPr="005016D1" w:rsidP="005016D1">
      <w:r w:rsidRPr="005016D1">
        <w:t>1.</w:t>
      </w:r>
      <w:r w:rsidRPr="005016D1">
        <w:rPr>
          <w:rFonts w:ascii="宋体" w:hAnsi="宋体" w:hint="eastAsia"/>
        </w:rPr>
        <w:t>本表格列示穿透后投资规模占比较高的前十项资产，不包括现金、活期存款、备付金、保证金、同业拆借及回购等资产。</w:t>
      </w:r>
    </w:p>
    <w:p w:rsidR="005016D1" w:rsidRPr="005016D1" w:rsidP="005016D1">
      <w:r w:rsidRPr="005016D1">
        <w:rPr>
          <w:rFonts w:hint="eastAsia"/>
        </w:rPr>
        <w:t>2.</w:t>
      </w:r>
      <w:r w:rsidRPr="005016D1">
        <w:rPr>
          <w:rFonts w:ascii="宋体" w:hAnsi="宋体" w:hint="eastAsia"/>
        </w:rPr>
        <w:t>金额中包含资产应计利息、其他应收款项、清算款项和待摊费用。</w:t>
      </w:r>
    </w:p>
    <w:p w:rsidR="005016D1" w:rsidRPr="005016D1" w:rsidP="005016D1">
      <w:r w:rsidRPr="005016D1">
        <w:rPr>
          <w:rFonts w:hint="eastAsia"/>
        </w:rPr>
        <w:t>3.</w:t>
      </w:r>
      <w:r w:rsidRPr="005016D1">
        <w:rPr>
          <w:rFonts w:ascii="宋体" w:hAnsi="宋体" w:hint="eastAsia"/>
        </w:rPr>
        <w:t>占</w:t>
      </w:r>
      <w:r w:rsidRPr="005016D1">
        <w:rPr>
          <w:rFonts w:ascii="宋体" w:hAnsi="宋体"/>
        </w:rPr>
        <w:t>产品</w:t>
      </w:r>
      <w:r w:rsidRPr="005016D1">
        <w:rPr>
          <w:rFonts w:ascii="宋体" w:hAnsi="宋体" w:hint="eastAsia"/>
        </w:rPr>
        <w:t>净</w:t>
      </w:r>
      <w:r w:rsidRPr="005016D1">
        <w:rPr>
          <w:rFonts w:ascii="宋体" w:hAnsi="宋体"/>
        </w:rPr>
        <w:t>资产的比例</w:t>
      </w:r>
      <w:r w:rsidRPr="005016D1">
        <w:t>=</w:t>
      </w:r>
      <w:r w:rsidRPr="005016D1">
        <w:rPr>
          <w:rFonts w:ascii="宋体" w:hAnsi="宋体"/>
        </w:rPr>
        <w:t>资产</w:t>
      </w:r>
      <w:r w:rsidRPr="005016D1">
        <w:rPr>
          <w:rFonts w:ascii="宋体" w:hAnsi="宋体" w:hint="eastAsia"/>
        </w:rPr>
        <w:t>余额</w:t>
      </w:r>
      <w:r w:rsidRPr="005016D1">
        <w:rPr>
          <w:rFonts w:hint="eastAsia"/>
        </w:rPr>
        <w:t>/</w:t>
      </w:r>
      <w:r w:rsidRPr="005016D1">
        <w:rPr>
          <w:rFonts w:ascii="宋体" w:hAnsi="宋体" w:hint="eastAsia"/>
        </w:rPr>
        <w:t>产品净</w:t>
      </w:r>
      <w:r w:rsidRPr="005016D1">
        <w:rPr>
          <w:rFonts w:ascii="宋体" w:hAnsi="宋体"/>
        </w:rPr>
        <w:t>资产，</w:t>
      </w:r>
      <w:r w:rsidRPr="005016D1">
        <w:rPr>
          <w:rFonts w:ascii="宋体" w:hAnsi="宋体" w:hint="eastAsia"/>
        </w:rPr>
        <w:t>占比</w:t>
      </w:r>
      <w:r w:rsidRPr="005016D1">
        <w:rPr>
          <w:rFonts w:ascii="宋体" w:hAnsi="宋体"/>
        </w:rPr>
        <w:t>结果</w:t>
      </w:r>
      <w:r w:rsidRPr="005016D1">
        <w:rPr>
          <w:rFonts w:ascii="宋体" w:hAnsi="宋体" w:hint="eastAsia"/>
        </w:rPr>
        <w:t>保留两位小数（因第二位小数四舍五入，可能存在尾差）。</w:t>
      </w:r>
    </w:p>
    <w:p w:rsidR="0038453A" w:rsidP="0038453A">
      <w:pPr>
        <w:pStyle w:val="Heading2"/>
        <w:rPr>
          <w:sz w:val="24"/>
          <w:szCs w:val="24"/>
          <w:shd w:val="clear" w:color="auto" w:fill="FFFFFF"/>
        </w:rPr>
      </w:pPr>
      <w:bookmarkStart w:id="29" w:name="_Toc256000014"/>
      <w:r>
        <w:rPr>
          <w:b/>
          <w:i w:val="0"/>
          <w:color w:val="000000"/>
          <w:position w:val="-1"/>
          <w:sz w:val="24"/>
          <w:u w:val="none"/>
        </w:rPr>
        <w:t>5.3 报告期末非标准化债权类资产信息</w:t>
      </w:r>
      <w:bookmarkEnd w:id="29"/>
    </w:p>
    <w:tbl>
      <w:tblPr>
        <w:tblStyle w:val="TableGrid"/>
        <w:tblW w:w="9067" w:type="dxa"/>
        <w:tblInd w:w="0" w:type="dxa"/>
        <w:tblLook w:val="04A0"/>
      </w:tblPr>
      <w:tblGrid>
        <w:gridCol w:w="2122"/>
        <w:gridCol w:w="1701"/>
        <w:gridCol w:w="2268"/>
        <w:gridCol w:w="1417"/>
        <w:gridCol w:w="1559"/>
      </w:tblGrid>
      <w:tr w:rsidTr="0038453A">
        <w:tblPrEx>
          <w:tblW w:w="9067" w:type="dxa"/>
          <w:tblInd w:w="0" w:type="dxa"/>
          <w:tblLook w:val="04A0"/>
        </w:tblPrEx>
        <w:tc>
          <w:tcPr>
            <w:tcW w:w="2122"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sz w:val="21"/>
              </w:rPr>
            </w:pPr>
            <w:r>
              <w:rPr>
                <w:rFonts w:ascii="宋体" w:hAnsi="宋体" w:hint="eastAsia"/>
                <w:b/>
              </w:rPr>
              <w:t>资产名称</w:t>
            </w:r>
          </w:p>
        </w:tc>
        <w:tc>
          <w:tcPr>
            <w:tcW w:w="1701"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融资客户名称</w:t>
            </w:r>
          </w:p>
        </w:tc>
        <w:tc>
          <w:tcPr>
            <w:tcW w:w="226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项目剩余融资期限</w:t>
            </w:r>
          </w:p>
          <w:p w:rsidR="0038453A">
            <w:pPr>
              <w:widowControl/>
              <w:jc w:val="center"/>
              <w:rPr>
                <w:rFonts w:ascii="宋体" w:hAnsi="宋体"/>
                <w:b/>
              </w:rPr>
            </w:pPr>
            <w:r>
              <w:rPr>
                <w:rFonts w:ascii="宋体" w:hAnsi="宋体" w:hint="eastAsia"/>
                <w:b/>
              </w:rPr>
              <w:t>（单位：天）</w:t>
            </w:r>
          </w:p>
        </w:tc>
        <w:tc>
          <w:tcPr>
            <w:tcW w:w="1417"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交易结构</w:t>
            </w:r>
          </w:p>
        </w:tc>
        <w:tc>
          <w:tcPr>
            <w:tcW w:w="1559"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风险状况</w:t>
            </w:r>
          </w:p>
        </w:tc>
      </w:tr>
      <w:tr w:rsidTr="0038453A">
        <w:tblPrEx>
          <w:tblW w:w="9067" w:type="dxa"/>
          <w:tblInd w:w="0" w:type="dxa"/>
          <w:tblLook w:val="04A0"/>
        </w:tblPrEx>
        <w:trPr>
          <w:trHeight w:val="431"/>
        </w:trPr>
        <w:tc>
          <w:tcPr>
            <w:tcW w:w="2122"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701"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26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59"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13929" w:rsidRPr="0038453A" w:rsidP="0038453A">
      <w:r>
        <w:rPr>
          <w:rFonts w:ascii="宋体" w:hAnsi="宋体" w:hint="eastAsia"/>
          <w:shd w:val="clear" w:color="auto" w:fill="FFFFFF"/>
        </w:rPr>
        <w:t>注：项目剩余融资期限为非标准化债权类资产自报告期末至项目结束之间的期限，如该笔资产在报告期内已到期或已卖出，则显示为“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A10263" w:rsidP="00A10263">
      <w:pPr>
        <w:pStyle w:val="Heading2"/>
        <w:rPr>
          <w:sz w:val="24"/>
          <w:szCs w:val="24"/>
          <w:shd w:val="clear" w:color="auto" w:fill="FFFFFF"/>
        </w:rPr>
      </w:pPr>
      <w:bookmarkStart w:id="30" w:name="_Toc256000015"/>
      <w:r>
        <w:rPr>
          <w:b/>
          <w:i w:val="0"/>
          <w:color w:val="000000"/>
          <w:position w:val="-1"/>
          <w:sz w:val="24"/>
          <w:u w:val="none"/>
        </w:rPr>
        <w:t>5.4 报告期内到期的非标准化债权类资产及收益情况</w:t>
      </w:r>
      <w:bookmarkEnd w:id="30"/>
    </w:p>
    <w:tbl>
      <w:tblPr>
        <w:tblStyle w:val="TableGrid"/>
        <w:tblW w:w="9060" w:type="dxa"/>
        <w:tblInd w:w="0" w:type="dxa"/>
        <w:tblLook w:val="04A0"/>
      </w:tblPr>
      <w:tblGrid>
        <w:gridCol w:w="1953"/>
        <w:gridCol w:w="1188"/>
        <w:gridCol w:w="1543"/>
        <w:gridCol w:w="1123"/>
        <w:gridCol w:w="1133"/>
        <w:gridCol w:w="2120"/>
      </w:tblGrid>
      <w:tr w:rsidTr="00A10263">
        <w:tblPrEx>
          <w:tblW w:w="9060" w:type="dxa"/>
          <w:tblInd w:w="0" w:type="dxa"/>
          <w:tblLook w:val="04A0"/>
        </w:tblPrEx>
        <w:tc>
          <w:tcPr>
            <w:tcW w:w="195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sz w:val="21"/>
              </w:rPr>
            </w:pPr>
            <w:r>
              <w:rPr>
                <w:rFonts w:ascii="宋体" w:hAnsi="宋体" w:hint="eastAsia"/>
                <w:b/>
              </w:rPr>
              <w:t>资产名称</w:t>
            </w:r>
          </w:p>
        </w:tc>
        <w:tc>
          <w:tcPr>
            <w:tcW w:w="118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融资客户名称</w:t>
            </w:r>
          </w:p>
        </w:tc>
        <w:tc>
          <w:tcPr>
            <w:tcW w:w="154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项目剩余融资期限</w:t>
            </w:r>
          </w:p>
          <w:p w:rsidR="00A10263">
            <w:pPr>
              <w:widowControl/>
              <w:jc w:val="center"/>
              <w:rPr>
                <w:rFonts w:ascii="宋体" w:hAnsi="宋体"/>
                <w:b/>
              </w:rPr>
            </w:pPr>
            <w:r>
              <w:rPr>
                <w:rFonts w:ascii="宋体" w:hAnsi="宋体" w:hint="eastAsia"/>
                <w:b/>
              </w:rPr>
              <w:t>（单位：天）</w:t>
            </w:r>
          </w:p>
        </w:tc>
        <w:tc>
          <w:tcPr>
            <w:tcW w:w="112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交易结构</w:t>
            </w:r>
          </w:p>
        </w:tc>
        <w:tc>
          <w:tcPr>
            <w:tcW w:w="113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风险状况</w:t>
            </w:r>
          </w:p>
        </w:tc>
        <w:tc>
          <w:tcPr>
            <w:tcW w:w="2120"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投资收益</w:t>
            </w:r>
          </w:p>
          <w:p w:rsidR="00A10263">
            <w:pPr>
              <w:widowControl/>
              <w:jc w:val="center"/>
              <w:rPr>
                <w:rFonts w:ascii="宋体" w:hAnsi="宋体"/>
                <w:b/>
              </w:rPr>
            </w:pPr>
            <w:r>
              <w:rPr>
                <w:rFonts w:ascii="宋体" w:eastAsia="宋体" w:hAnsi="宋体" w:cs="宋体"/>
                <w:b/>
                <w:i w:val="0"/>
                <w:color w:val="000000"/>
                <w:position w:val="-1"/>
                <w:u w:val="none"/>
              </w:rPr>
              <w:t>（单位：元）</w:t>
            </w:r>
          </w:p>
        </w:tc>
      </w:tr>
      <w:tr w:rsidTr="00A10263">
        <w:tblPrEx>
          <w:tblW w:w="9060" w:type="dxa"/>
          <w:tblInd w:w="0" w:type="dxa"/>
          <w:tblLook w:val="04A0"/>
        </w:tblPrEx>
        <w:trPr>
          <w:trHeight w:val="431"/>
        </w:trPr>
        <w:tc>
          <w:tcPr>
            <w:tcW w:w="1953"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18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112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1133"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c>
          <w:tcPr>
            <w:tcW w:w="2120" w:type="dxa"/>
            <w:tcBorders>
              <w:top w:val="single" w:sz="4" w:space="0" w:color="auto"/>
              <w:left w:val="single" w:sz="4" w:space="0" w:color="auto"/>
              <w:bottom w:val="single" w:sz="4" w:space="0" w:color="auto"/>
              <w:right w:val="single" w:sz="4" w:space="0" w:color="auto"/>
            </w:tcBorders>
            <w:vAlign w:val="center"/>
          </w:tcPr>
          <w:p w:rsidR="00A10263">
            <w:pPr>
              <w:widowControl/>
              <w:jc w:val="center"/>
              <w:rPr>
                <w:rFonts w:ascii="宋体" w:hAnsi="宋体"/>
                <w:b/>
              </w:rPr>
            </w:pPr>
          </w:p>
        </w:tc>
      </w:tr>
    </w:tbl>
    <w:p w:rsidR="00A10263" w:rsidP="00A10263">
      <w:pPr>
        <w:rPr>
          <w:shd w:val="clear" w:color="auto" w:fill="FFFFFF"/>
        </w:rPr>
      </w:pPr>
      <w:r>
        <w:rPr>
          <w:rFonts w:ascii="宋体" w:hAnsi="宋体" w:hint="eastAsia"/>
          <w:shd w:val="clear" w:color="auto" w:fill="FFFFFF"/>
        </w:rPr>
        <w:t>注：</w:t>
      </w:r>
    </w:p>
    <w:p w:rsidR="00A10263" w:rsidP="00A10263">
      <w:pPr>
        <w:rPr>
          <w:shd w:val="clear" w:color="auto" w:fill="FFFFFF"/>
        </w:rPr>
      </w:pPr>
      <w:r>
        <w:rPr>
          <w:rFonts w:ascii="宋体" w:hAnsi="宋体" w:hint="eastAsia"/>
          <w:shd w:val="clear" w:color="auto" w:fill="FFFFFF"/>
        </w:rPr>
        <w:t>1.项目剩余融资期限为非标准化债权类资产自报告期末至项目结束之间的期限，如该笔资产在报告期内已到期或已卖出，则显示为“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4D414C" w:rsidRPr="00A10263" w:rsidP="00A10263">
      <w:pPr>
        <w:rPr>
          <w:shd w:val="clear" w:color="auto" w:fill="FFFFFF"/>
        </w:rPr>
      </w:pPr>
      <w:r>
        <w:rPr>
          <w:rFonts w:ascii="宋体" w:hAnsi="宋体" w:hint="eastAsia"/>
          <w:shd w:val="clear" w:color="auto" w:fill="FFFFFF"/>
        </w:rPr>
        <w:t>2.</w:t>
      </w:r>
      <w:r>
        <w:rPr>
          <w:rFonts w:ascii="宋体" w:hAnsi="宋体"/>
          <w:shd w:val="clear" w:color="auto" w:fill="FFFFFF"/>
        </w:rPr>
        <w:t>投资收益为理财产品持有该笔资产期间</w:t>
      </w:r>
      <w:r>
        <w:rPr>
          <w:rFonts w:ascii="宋体" w:hAnsi="宋体" w:hint="eastAsia"/>
        </w:rPr>
        <w:t>的投资收益情况。</w:t>
      </w:r>
    </w:p>
    <w:p w:rsidR="00587ABE" w:rsidP="00587ABE">
      <w:pPr>
        <w:pStyle w:val="Heading2"/>
        <w:rPr>
          <w:sz w:val="24"/>
          <w:szCs w:val="24"/>
          <w:shd w:val="clear" w:color="auto" w:fill="FFFFFF"/>
        </w:rPr>
      </w:pPr>
      <w:bookmarkStart w:id="31" w:name="_Toc256000016"/>
      <w:r>
        <w:rPr>
          <w:b/>
          <w:i w:val="0"/>
          <w:color w:val="000000"/>
          <w:position w:val="-1"/>
          <w:sz w:val="24"/>
          <w:u w:val="none"/>
        </w:rPr>
        <w:t>5.5 报告期末信贷资产收受益权资产信息</w:t>
      </w:r>
      <w:bookmarkEnd w:id="31"/>
    </w:p>
    <w:tbl>
      <w:tblPr>
        <w:tblStyle w:val="TableNormal"/>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2762"/>
        <w:gridCol w:w="3504"/>
      </w:tblGrid>
      <w:tr w:rsidTr="00587ABE">
        <w:tblPrEx>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227"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资产名称</w:t>
            </w:r>
          </w:p>
        </w:tc>
        <w:tc>
          <w:tcPr>
            <w:tcW w:w="1663"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原始权益人名称</w:t>
            </w:r>
          </w:p>
        </w:tc>
        <w:tc>
          <w:tcPr>
            <w:tcW w:w="2110"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rPr>
            </w:pPr>
            <w:r>
              <w:rPr>
                <w:rFonts w:ascii="宋体" w:hAnsi="宋体" w:hint="eastAsia"/>
                <w:b/>
              </w:rPr>
              <w:t>项目剩余融资期限</w:t>
            </w:r>
          </w:p>
          <w:p w:rsidR="00587ABE">
            <w:pPr>
              <w:widowControl/>
              <w:jc w:val="center"/>
              <w:rPr>
                <w:rFonts w:ascii="宋体" w:hAnsi="宋体"/>
                <w:b/>
                <w:kern w:val="0"/>
                <w:highlight w:val="lightGray"/>
                <w:shd w:val="clear" w:color="auto" w:fill="FFFFFF"/>
              </w:rPr>
            </w:pPr>
            <w:r>
              <w:rPr>
                <w:rFonts w:ascii="宋体" w:hAnsi="宋体" w:hint="eastAsia"/>
                <w:b/>
              </w:rPr>
              <w:t>（单位：天）</w:t>
            </w:r>
          </w:p>
        </w:tc>
      </w:tr>
      <w:tr w:rsidTr="00587ABE">
        <w:tblPrEx>
          <w:tblW w:w="5004" w:type="pct"/>
          <w:tblLook w:val="04A0"/>
        </w:tblPrEx>
        <w:trPr>
          <w:trHeight w:val="430"/>
        </w:trPr>
        <w:tc>
          <w:tcPr>
            <w:tcW w:w="1227"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663" w:type="pct"/>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10"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
        <w:rPr>
          <w:sz w:val="24"/>
          <w:szCs w:val="24"/>
          <w:shd w:val="clear" w:color="auto" w:fill="FFFFFF"/>
        </w:rPr>
      </w:pPr>
      <w:bookmarkStart w:id="33" w:name="_Toc256000018"/>
      <w:r>
        <w:rPr>
          <w:b/>
          <w:color w:val="000000"/>
          <w:sz w:val="24"/>
        </w:rPr>
        <w:t>5.6 报告期末商品及金融衍生品资产信息</w:t>
      </w:r>
      <w:bookmarkEnd w:id="33"/>
    </w:p>
    <w:p w:rsidR="008B7BD8" w:rsidRPr="00E43FC7" w:rsidP="00BA42D8">
      <w:pPr>
        <w:ind w:firstLine="420" w:firstLineChars="200"/>
        <w:rPr>
          <w:rFonts w:ascii="宋体" w:hAnsi="宋体"/>
          <w:sz w:val="24"/>
          <w:shd w:val="clear" w:color="auto" w:fill="FFFFFF"/>
        </w:rPr>
      </w:pPr>
      <w:r>
        <w:rPr>
          <w:rFonts w:ascii="宋体" w:eastAsia="宋体" w:hAnsi="宋体" w:cs="宋体"/>
          <w:b w:val="0"/>
          <w:color w:val="000000"/>
          <w:sz w:val="24"/>
        </w:rPr>
        <w:t>无</w:t>
      </w:r>
    </w:p>
    <w:p w:rsidR="004B3394" w:rsidRPr="008B7BD8" w:rsidP="008B7BD8">
      <w:pPr>
        <w:rPr>
          <w:rFonts w:ascii="宋体" w:hAnsi="宋体"/>
        </w:rPr>
      </w:pPr>
      <w:r>
        <w:rPr>
          <w:rFonts w:ascii="宋体" w:eastAsia="宋体" w:hAnsi="宋体" w:cs="宋体"/>
          <w:b w:val="0"/>
          <w:color w:val="000000"/>
        </w:rPr>
        <w:t xml:space="preserve"> </w:t>
      </w:r>
    </w:p>
    <w:p w:rsidR="00C873CF">
      <w:bookmarkStart w:id="34" w:name="现金类理财"/>
      <w:bookmarkStart w:id="35" w:name="托管人"/>
    </w:p>
    <w:p>
      <w:pPr>
        <w:pStyle w:val="Heading1"/>
        <w:spacing w:line="360" w:lineRule="auto"/>
        <w:jc w:val="center"/>
        <w:rPr>
          <w:rFonts w:ascii="宋体" w:hAnsi="宋体"/>
          <w:sz w:val="26"/>
          <w:shd w:val="clear" w:color="auto" w:fill="FFFFFF"/>
        </w:rPr>
      </w:pPr>
      <w:bookmarkStart w:id="36" w:name="_Toc256000020"/>
      <w:r>
        <w:rPr>
          <w:rFonts w:ascii="宋体" w:hAnsi="宋体" w:hint="eastAsia"/>
          <w:sz w:val="26"/>
          <w:shd w:val="clear" w:color="auto" w:fill="FFFFFF"/>
        </w:rPr>
        <w:t>§</w:t>
      </w:r>
      <w:r>
        <w:rPr>
          <w:rFonts w:ascii="宋体" w:hAnsi="宋体"/>
          <w:sz w:val="26"/>
          <w:shd w:val="clear" w:color="auto" w:fill="FFFFFF"/>
        </w:rPr>
        <w:t>6</w:t>
      </w:r>
      <w:r>
        <w:rPr>
          <w:rFonts w:ascii="宋体" w:hAnsi="宋体" w:hint="eastAsia"/>
          <w:sz w:val="26"/>
          <w:shd w:val="clear" w:color="auto" w:fill="FFFFFF"/>
        </w:rPr>
        <w:t xml:space="preserve"> 托管人报告</w:t>
      </w:r>
      <w:bookmarkEnd w:id="36"/>
      <w:bookmarkStart w:id="37" w:name="_Toc12382926"/>
      <w:bookmarkEnd w:id="37"/>
    </w:p>
    <w:p>
      <w:pPr>
        <w:pStyle w:val="Heading2"/>
        <w:spacing w:line="360" w:lineRule="auto"/>
        <w:rPr>
          <w:shd w:val="clear" w:color="auto" w:fill="FFFFFF"/>
        </w:rPr>
      </w:pPr>
      <w:bookmarkStart w:id="38" w:name="_Toc256000021"/>
      <w:r>
        <w:rPr>
          <w:shd w:val="clear" w:color="auto" w:fill="FFFFFF"/>
        </w:rPr>
        <w:t>6</w:t>
      </w:r>
      <w:r>
        <w:rPr>
          <w:rFonts w:hint="eastAsia"/>
          <w:shd w:val="clear" w:color="auto" w:fill="FFFFFF"/>
        </w:rPr>
        <w:t>.1 托管人报告</w:t>
      </w:r>
      <w:bookmarkEnd w:id="38"/>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6.1.1托管人履职情况</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（一）托管资产保管</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托管资产独立于</w:t>
      </w:r>
      <w:r>
        <w:rPr>
          <w:rFonts w:ascii="宋体" w:hAnsi="宋体" w:hint="eastAsia"/>
          <w:sz w:val="24"/>
          <w:highlight w:val="none"/>
          <w:shd w:val="clear" w:color="auto" w:fill="FFFFFF"/>
        </w:rPr>
        <w:t>托管人</w:t>
      </w:r>
      <w:r>
        <w:rPr>
          <w:rFonts w:ascii="宋体" w:hAnsi="宋体"/>
          <w:sz w:val="24"/>
          <w:highlight w:val="none"/>
          <w:shd w:val="clear" w:color="auto" w:fill="FFFFFF"/>
        </w:rPr>
        <w:t>的自有资产及其托管的其他资产，不同投资账户之间的托管资产之间互相独立。</w:t>
      </w:r>
      <w:r>
        <w:rPr>
          <w:rFonts w:ascii="宋体" w:hAnsi="宋体" w:hint="eastAsia"/>
          <w:sz w:val="24"/>
          <w:highlight w:val="none"/>
          <w:shd w:val="clear" w:color="auto" w:fill="FFFFFF"/>
        </w:rPr>
        <w:t>托管人</w:t>
      </w:r>
      <w:r>
        <w:rPr>
          <w:rFonts w:ascii="宋体" w:hAnsi="宋体"/>
          <w:sz w:val="24"/>
          <w:highlight w:val="none"/>
          <w:shd w:val="clear" w:color="auto" w:fill="FFFFFF"/>
        </w:rPr>
        <w:t>按照监管相关规定，完整保存与托管资产有关的会计档案、与托管资产有关的投资记录、指令和合同等。</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（二）会计核算和估值</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托管人按照与管理人在托管协议中约定的统一记账方法和会计处理原则，独立地设置、登录和保管本产品的全套账册，进行会计核算和资产估值。</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（三）定期核对有关数据</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托管人根据托管协议约定与管理人定期进行账务核对。</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（四）投资监督</w:t>
      </w:r>
    </w:p>
    <w:p>
      <w:pPr>
        <w:ind w:firstLine="420" w:firstLineChars="200"/>
        <w:rPr>
          <w:rFonts w:ascii="宋体" w:hAnsi="宋体"/>
          <w:sz w:val="24"/>
          <w:highlight w:val="none"/>
          <w:shd w:val="clear" w:color="auto" w:fill="FFFFFF"/>
        </w:rPr>
      </w:pPr>
      <w:r>
        <w:rPr>
          <w:rFonts w:ascii="宋体" w:hAnsi="宋体" w:hint="eastAsia"/>
          <w:sz w:val="24"/>
          <w:highlight w:val="none"/>
          <w:shd w:val="clear" w:color="auto" w:fill="FFFFFF"/>
        </w:rPr>
        <w:t>托管人根据法规、托管协议以及双方约定的投资监督条款，对投资运作情况进行监督。</w:t>
      </w:r>
    </w:p>
    <w:p>
      <w:pPr>
        <w:ind w:firstLine="420" w:firstLineChars="200"/>
        <w:rPr>
          <w:rFonts w:ascii="宋体" w:hAnsi="宋体"/>
          <w:sz w:val="24"/>
          <w:highlight w:val="none"/>
          <w:shd w:val="clear" w:color="auto" w:fill="FFFFFF"/>
        </w:rPr>
      </w:pPr>
      <w:r>
        <w:rPr>
          <w:rFonts w:ascii="宋体" w:hAnsi="宋体"/>
          <w:sz w:val="24"/>
          <w:highlight w:val="none"/>
          <w:shd w:val="clear" w:color="auto" w:fill="FFFFFF"/>
        </w:rPr>
        <w:t>6.1.2托管人声明</w:t>
      </w:r>
    </w:p>
    <w:p>
      <w:pPr>
        <w:ind w:firstLine="420" w:firstLineChars="200"/>
      </w:pPr>
      <w:r>
        <w:rPr>
          <w:rFonts w:ascii="宋体" w:hAnsi="宋体" w:hint="eastAsia"/>
          <w:sz w:val="24"/>
          <w:highlight w:val="none"/>
          <w:shd w:val="clear" w:color="auto" w:fill="FFFFFF"/>
        </w:rPr>
        <w:t>托管人具备完善的公司治理结构、内部稽核监控制度和风险控制制度，托管人在本产品托管的过程中，严格遵守有关法律法规、托管协议的规定，尽职尽责地履行托管义务并安全保管托管资产。</w:t>
      </w:r>
    </w:p>
    <w:p w:rsidR="00C873CF"/>
    <w:p w:rsidR="00C873CF">
      <w:pPr>
        <w:jc w:val="right"/>
        <w:rPr>
          <w:rFonts w:ascii="宋体" w:hAnsi="宋体"/>
          <w:sz w:val="24"/>
          <w:szCs w:val="24"/>
        </w:rPr>
      </w:pPr>
      <w:r>
        <w:rPr>
          <w:rFonts w:ascii="宋体" w:eastAsia="宋体" w:hAnsi="宋体" w:cs="宋体"/>
          <w:b w:val="0"/>
          <w:i w:val="0"/>
          <w:color w:val="000000"/>
          <w:position w:val="-1"/>
          <w:sz w:val="24"/>
          <w:u w:val="none"/>
        </w:rPr>
        <w:t>招银理财有限责任公司</w:t>
      </w:r>
    </w:p>
    <w:p w:rsidR="00C873CF">
      <w:pPr>
        <w:jc w:val="right"/>
        <w:rPr>
          <w:rFonts w:ascii="宋体" w:hAnsi="宋体"/>
          <w:sz w:val="24"/>
          <w:szCs w:val="24"/>
        </w:rPr>
      </w:pPr>
      <w:r>
        <w:rPr>
          <w:rFonts w:ascii="宋体" w:eastAsia="宋体" w:hAnsi="宋体" w:cs="宋体"/>
          <w:b w:val="0"/>
          <w:i w:val="0"/>
          <w:color w:val="000000"/>
          <w:position w:val="-1"/>
          <w:sz w:val="24"/>
          <w:u w:val="none"/>
        </w:rPr>
        <w:t>2026年06月30日</w:t>
      </w:r>
    </w:p>
    <w:sectPr>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1"/>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C873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Footer"/>
      <w:jc w:val="center"/>
    </w:pPr>
    <w: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Header"/>
      <w:jc w:val="left"/>
    </w:pPr>
    <w:r>
      <w:rPr>
        <w:rFonts w:ascii="宋体" w:eastAsia="宋体" w:hAnsi="宋体" w:cs="宋体"/>
        <w:b w:val="0"/>
        <w:i w:val="0"/>
        <w:color w:val="000000"/>
        <w:position w:val="-1"/>
        <w:u w:val="none"/>
      </w:rPr>
      <w:t>招银理财招睿鑫鼎滚动持有30天2号固定收益类理财计划2026年上半年报告（产品代码：111317）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left" w:pos="360"/>
        </w:tabs>
        <w:ind w:left="360" w:hanging="360"/>
      </w:pPr>
      <w:rPr>
        <w:rFonts w:hint="default"/>
      </w:rPr>
    </w:lvl>
    <w:lvl w:ilvl="1">
      <w:start w:val="1"/>
      <w:numFmt w:val="lowerLetter"/>
      <w:pStyle w:val="2111111"/>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left" w:pos="780"/>
        </w:tabs>
        <w:ind w:left="780" w:hanging="360"/>
      </w:pPr>
      <w:rPr>
        <w:rFonts w:hint="default"/>
        <w:color w:val="0000FF"/>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lsdException w:name="annotation reference" w:uiPriority="99"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rPr>
  </w:style>
  <w:style w:type="paragraph" w:styleId="Heading1">
    <w:name w:val="heading 1"/>
    <w:basedOn w:val="Normal"/>
    <w:next w:val="Normal"/>
    <w:link w:val="10"/>
    <w:qFormat/>
    <w:pPr>
      <w:keepNext/>
      <w:keepLines/>
      <w:spacing w:before="340" w:after="330" w:line="576" w:lineRule="auto"/>
      <w:outlineLvl w:val="0"/>
    </w:pPr>
    <w:rPr>
      <w:b/>
      <w:kern w:val="44"/>
      <w:sz w:val="44"/>
      <w:lang w:val="zh-CN"/>
    </w:rPr>
  </w:style>
  <w:style w:type="paragraph" w:styleId="Heading2">
    <w:name w:val="heading 2"/>
    <w:basedOn w:val="Normal"/>
    <w:next w:val="Normal"/>
    <w:link w:val="2"/>
    <w:qFormat/>
    <w:pPr>
      <w:keepNext/>
      <w:keepLines/>
      <w:spacing w:before="260" w:after="260" w:line="413" w:lineRule="auto"/>
      <w:outlineLvl w:val="1"/>
    </w:pPr>
    <w:rPr>
      <w:rFonts w:ascii="宋体" w:hAnsi="宋体"/>
      <w:b/>
      <w:sz w:val="26"/>
    </w:rPr>
  </w:style>
  <w:style w:type="paragraph" w:styleId="Heading3">
    <w:name w:val="heading 3"/>
    <w:basedOn w:val="Normal"/>
    <w:next w:val="Normal"/>
    <w:qFormat/>
    <w:pPr>
      <w:keepNext/>
      <w:keepLines/>
      <w:spacing w:before="260" w:after="260" w:line="413" w:lineRule="auto"/>
      <w:outlineLvl w:val="2"/>
    </w:pPr>
    <w:rPr>
      <w:rFonts w:ascii="宋体" w:hAnsi="宋体"/>
      <w:b/>
      <w:sz w:val="26"/>
    </w:rPr>
  </w:style>
  <w:style w:type="paragraph" w:styleId="Heading4">
    <w:name w:val="heading 4"/>
    <w:basedOn w:val="Normal"/>
    <w:next w:val="Normal"/>
    <w:qFormat/>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pPr>
      <w:keepNext/>
      <w:keepLines/>
      <w:spacing w:before="280" w:after="290" w:line="372" w:lineRule="auto"/>
      <w:outlineLvl w:val="4"/>
    </w:pPr>
    <w:rPr>
      <w:b/>
      <w:sz w:val="28"/>
    </w:rPr>
  </w:style>
  <w:style w:type="paragraph" w:styleId="Heading6">
    <w:name w:val="heading 6"/>
    <w:basedOn w:val="Normal"/>
    <w:next w:val="Normal"/>
    <w:qFormat/>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ind w:left="2520" w:leftChars="1200"/>
    </w:pPr>
    <w:rPr>
      <w:rFonts w:ascii="Calibri" w:hAnsi="Calibri"/>
      <w:szCs w:val="22"/>
    </w:rPr>
  </w:style>
  <w:style w:type="paragraph" w:styleId="DocumentMap">
    <w:name w:val="Document Map"/>
    <w:basedOn w:val="Normal"/>
    <w:pPr>
      <w:shd w:val="clear" w:color="auto" w:fill="000080"/>
    </w:pPr>
  </w:style>
  <w:style w:type="paragraph" w:styleId="CommentText">
    <w:name w:val="annotation text"/>
    <w:basedOn w:val="Normal"/>
    <w:link w:val="a0"/>
    <w:uiPriority w:val="99"/>
    <w:qFormat/>
    <w:pPr>
      <w:jc w:val="left"/>
    </w:pPr>
  </w:style>
  <w:style w:type="paragraph" w:styleId="BodyText">
    <w:name w:val="Body Text"/>
    <w:basedOn w:val="Normal"/>
    <w:link w:val="a"/>
    <w:qFormat/>
    <w:pPr>
      <w:adjustRightInd w:val="0"/>
      <w:snapToGrid w:val="0"/>
      <w:spacing w:line="324" w:lineRule="auto"/>
      <w:ind w:right="28"/>
      <w:jc w:val="left"/>
    </w:pPr>
    <w:rPr>
      <w:rFonts w:ascii="仿宋_GB2312" w:eastAsia="仿宋_GB2312"/>
      <w:kern w:val="0"/>
      <w:sz w:val="28"/>
    </w:rPr>
  </w:style>
  <w:style w:type="paragraph" w:styleId="TOC5">
    <w:name w:val="toc 5"/>
    <w:basedOn w:val="Normal"/>
    <w:next w:val="Normal"/>
    <w:uiPriority w:val="39"/>
    <w:unhideWhenUsed/>
    <w:qFormat/>
    <w:pPr>
      <w:ind w:left="1680" w:leftChars="800"/>
    </w:pPr>
    <w:rPr>
      <w:rFonts w:ascii="Calibri" w:hAnsi="Calibri"/>
      <w:szCs w:val="22"/>
    </w:rPr>
  </w:style>
  <w:style w:type="paragraph" w:styleId="TOC3">
    <w:name w:val="toc 3"/>
    <w:basedOn w:val="Normal"/>
    <w:next w:val="Normal"/>
    <w:uiPriority w:val="39"/>
    <w:unhideWhenUsed/>
    <w:qFormat/>
    <w:pPr>
      <w:ind w:left="840" w:leftChars="400"/>
    </w:pPr>
    <w:rPr>
      <w:rFonts w:ascii="Calibri" w:hAnsi="Calibri"/>
      <w:szCs w:val="22"/>
    </w:rPr>
  </w:style>
  <w:style w:type="paragraph" w:styleId="TOC8">
    <w:name w:val="toc 8"/>
    <w:basedOn w:val="Normal"/>
    <w:next w:val="Normal"/>
    <w:uiPriority w:val="39"/>
    <w:unhideWhenUsed/>
    <w:qFormat/>
    <w:pPr>
      <w:ind w:left="2940" w:leftChars="1400"/>
    </w:pPr>
    <w:rPr>
      <w:rFonts w:ascii="Calibri" w:hAnsi="Calibri"/>
      <w:szCs w:val="22"/>
    </w:rPr>
  </w:style>
  <w:style w:type="paragraph" w:styleId="Date">
    <w:name w:val="Date"/>
    <w:basedOn w:val="Normal"/>
    <w:next w:val="Normal"/>
    <w:qFormat/>
    <w:rPr>
      <w:sz w:val="24"/>
    </w:rPr>
  </w:style>
  <w:style w:type="paragraph" w:styleId="EndnoteText">
    <w:name w:val="endnote text"/>
    <w:basedOn w:val="Normal"/>
    <w:link w:val="a3"/>
    <w:semiHidden/>
    <w:unhideWhenUsed/>
    <w:qFormat/>
    <w:pPr>
      <w:snapToGrid w:val="0"/>
      <w:jc w:val="left"/>
    </w:pPr>
  </w:style>
  <w:style w:type="paragraph" w:styleId="BalloonText">
    <w:name w:val="Balloon Text"/>
    <w:basedOn w:val="Normal"/>
    <w:qFormat/>
    <w:rPr>
      <w:sz w:val="18"/>
    </w:rPr>
  </w:style>
  <w:style w:type="paragraph" w:styleId="Footer">
    <w:name w:val="footer"/>
    <w:basedOn w:val="Normal"/>
    <w:link w:val="a2"/>
    <w:uiPriority w:val="99"/>
    <w:qFormat/>
    <w:pPr>
      <w:tabs>
        <w:tab w:val="center" w:pos="4153"/>
        <w:tab w:val="right" w:pos="8306"/>
      </w:tabs>
      <w:snapToGrid w:val="0"/>
      <w:jc w:val="left"/>
    </w:pPr>
    <w:rPr>
      <w:sz w:val="18"/>
      <w:lang w:val="zh-CN"/>
    </w:rPr>
  </w:style>
  <w:style w:type="paragraph" w:styleId="Header">
    <w:name w:val="header"/>
    <w:basedOn w:val="Normal"/>
    <w:qFormat/>
    <w:pPr>
      <w:pBdr>
        <w:bottom w:val="single" w:sz="6" w:space="1" w:color="auto"/>
      </w:pBdr>
      <w:tabs>
        <w:tab w:val="center" w:pos="4153"/>
        <w:tab w:val="right" w:pos="8306"/>
      </w:tabs>
      <w:snapToGrid w:val="0"/>
      <w:jc w:val="center"/>
    </w:pPr>
    <w:rPr>
      <w:sz w:val="18"/>
    </w:rPr>
  </w:style>
  <w:style w:type="paragraph" w:styleId="TOC1">
    <w:name w:val="toc 1"/>
    <w:basedOn w:val="Normal"/>
    <w:next w:val="Normal"/>
    <w:uiPriority w:val="39"/>
    <w:qFormat/>
  </w:style>
  <w:style w:type="paragraph" w:styleId="TOC4">
    <w:name w:val="toc 4"/>
    <w:basedOn w:val="Normal"/>
    <w:next w:val="Normal"/>
    <w:uiPriority w:val="39"/>
    <w:unhideWhenUsed/>
    <w:qFormat/>
    <w:pPr>
      <w:ind w:left="1260" w:leftChars="600"/>
    </w:pPr>
    <w:rPr>
      <w:rFonts w:ascii="Calibri" w:hAnsi="Calibri"/>
      <w:szCs w:val="22"/>
    </w:rPr>
  </w:style>
  <w:style w:type="paragraph" w:styleId="FootnoteText">
    <w:name w:val="footnote text"/>
    <w:basedOn w:val="Normal"/>
    <w:link w:val="a4"/>
    <w:qFormat/>
    <w:pPr>
      <w:snapToGrid w:val="0"/>
      <w:jc w:val="left"/>
    </w:pPr>
    <w:rPr>
      <w:sz w:val="18"/>
    </w:rPr>
  </w:style>
  <w:style w:type="paragraph" w:styleId="TOC6">
    <w:name w:val="toc 6"/>
    <w:basedOn w:val="Normal"/>
    <w:next w:val="Normal"/>
    <w:uiPriority w:val="39"/>
    <w:unhideWhenUsed/>
    <w:qFormat/>
    <w:pPr>
      <w:ind w:left="2100" w:leftChars="1000"/>
    </w:pPr>
    <w:rPr>
      <w:rFonts w:ascii="Calibri" w:hAnsi="Calibri"/>
      <w:szCs w:val="22"/>
    </w:rPr>
  </w:style>
  <w:style w:type="paragraph" w:styleId="TOC2">
    <w:name w:val="toc 2"/>
    <w:basedOn w:val="Normal"/>
    <w:next w:val="Normal"/>
    <w:uiPriority w:val="39"/>
    <w:qFormat/>
    <w:pPr>
      <w:ind w:left="420" w:leftChars="200"/>
    </w:pPr>
  </w:style>
  <w:style w:type="paragraph" w:styleId="TOC9">
    <w:name w:val="toc 9"/>
    <w:basedOn w:val="Normal"/>
    <w:next w:val="Normal"/>
    <w:uiPriority w:val="39"/>
    <w:unhideWhenUsed/>
    <w:qFormat/>
    <w:pPr>
      <w:ind w:left="3360" w:leftChars="1600"/>
    </w:pPr>
    <w:rPr>
      <w:rFonts w:ascii="Calibri" w:hAnsi="Calibri"/>
      <w:szCs w:val="22"/>
    </w:rPr>
  </w:style>
  <w:style w:type="paragraph" w:styleId="BodyText2">
    <w:name w:val="Body Text 2"/>
    <w:basedOn w:val="Normal"/>
    <w:qFormat/>
    <w:pPr>
      <w:spacing w:after="120" w:line="480" w:lineRule="auto"/>
    </w:pPr>
  </w:style>
  <w:style w:type="paragraph" w:styleId="NormalWeb">
    <w:name w:val="Normal (Web)"/>
    <w:basedOn w:val="Normal"/>
    <w:uiPriority w:val="99"/>
    <w:qFormat/>
    <w:pPr>
      <w:widowControl/>
      <w:spacing w:before="100" w:beforeAutospacing="1" w:after="100" w:afterAutospacing="1"/>
      <w:jc w:val="left"/>
    </w:pPr>
    <w:rPr>
      <w:rFonts w:ascii="宋体" w:hAnsi="宋体"/>
      <w:kern w:val="0"/>
      <w:sz w:val="24"/>
    </w:rPr>
  </w:style>
  <w:style w:type="paragraph" w:styleId="CommentSubject">
    <w:name w:val="annotation subject"/>
    <w:basedOn w:val="CommentText"/>
    <w:next w:val="CommentText"/>
    <w:qFormat/>
    <w:rPr>
      <w: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rPr>
  </w:style>
  <w:style w:type="character" w:styleId="EndnoteReference">
    <w:name w:val="endnote reference"/>
    <w:semiHidden/>
    <w:unhideWhenUsed/>
    <w:qFormat/>
    <w:rPr>
      <w:vertAlign w:val="superscript"/>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uiPriority w:val="99"/>
    <w:qFormat/>
    <w:rPr>
      <w:sz w:val="21"/>
    </w:rPr>
  </w:style>
  <w:style w:type="character" w:styleId="FootnoteReference">
    <w:name w:val="footnote reference"/>
    <w:uiPriority w:val="99"/>
    <w:rPr>
      <w:vertAlign w:val="superscript"/>
    </w:rPr>
  </w:style>
  <w:style w:type="character" w:customStyle="1" w:styleId="a">
    <w:name w:val="正文文本 字符"/>
    <w:link w:val="BodyText"/>
    <w:qFormat/>
    <w:rPr>
      <w:rFonts w:ascii="仿宋_GB2312" w:eastAsia="仿宋_GB2312"/>
      <w:sz w:val="28"/>
      <w:lang w:val="en-US" w:eastAsia="zh-CN"/>
    </w:rPr>
  </w:style>
  <w:style w:type="character" w:customStyle="1" w:styleId="2CharCharChar">
    <w:name w:val="标题 2 Char Char Char"/>
    <w:rPr>
      <w:rFonts w:ascii="Arial" w:eastAsia="宋体" w:hAnsi="Arial"/>
      <w:b/>
      <w:kern w:val="2"/>
      <w:sz w:val="28"/>
      <w:lang w:val="en-US" w:eastAsia="zh-CN"/>
    </w:rPr>
  </w:style>
  <w:style w:type="character" w:customStyle="1" w:styleId="a0">
    <w:name w:val="批注文字 字符"/>
    <w:link w:val="CommentText"/>
    <w:uiPriority w:val="99"/>
    <w:qFormat/>
    <w:rPr>
      <w:rFonts w:eastAsia="宋体"/>
      <w:kern w:val="2"/>
      <w:sz w:val="21"/>
      <w:lang w:val="en-US" w:eastAsia="zh-CN"/>
    </w:rPr>
  </w:style>
  <w:style w:type="character" w:customStyle="1" w:styleId="1">
    <w:name w:val="已访问的超链接1"/>
    <w:rPr>
      <w:color w:val="800080"/>
      <w:u w:val="single"/>
    </w:rPr>
  </w:style>
  <w:style w:type="character" w:customStyle="1" w:styleId="afont1">
    <w:name w:val="afont1"/>
    <w:qFormat/>
    <w:rPr>
      <w:rFonts w:ascii="Arial Narrow" w:hAnsi="Arial Narrow" w:hint="default"/>
      <w:sz w:val="21"/>
    </w:rPr>
  </w:style>
  <w:style w:type="character" w:customStyle="1" w:styleId="2">
    <w:name w:val="标题 2 字符"/>
    <w:link w:val="Heading2"/>
    <w:qFormat/>
    <w:rPr>
      <w:rFonts w:ascii="宋体" w:hAnsi="宋体"/>
      <w:b/>
      <w:kern w:val="2"/>
      <w:sz w:val="26"/>
    </w:rPr>
  </w:style>
  <w:style w:type="character" w:customStyle="1" w:styleId="CharCharCharCharCharCharCharChar">
    <w:name w:val="正文文字 Char Char Char Char Char Char Char Char"/>
    <w:qFormat/>
    <w:rPr>
      <w:rFonts w:ascii="仿宋_GB2312" w:eastAsia="仿宋_GB2312"/>
      <w:sz w:val="28"/>
      <w:lang w:val="en-US" w:eastAsia="zh-CN"/>
    </w:rPr>
  </w:style>
  <w:style w:type="paragraph" w:customStyle="1" w:styleId="115">
    <w:name w:val="样式 标题 1 + 段前: 1.5 行"/>
    <w:basedOn w:val="Normal"/>
    <w:pPr>
      <w:numPr>
        <w:numId w:val="1"/>
      </w:numPr>
    </w:pPr>
    <w:rPr>
      <w:sz w:val="24"/>
    </w:rPr>
  </w:style>
  <w:style w:type="paragraph" w:customStyle="1" w:styleId="CharChar2">
    <w:name w:val="Char Char2"/>
    <w:basedOn w:val="Normal"/>
    <w:qFormat/>
    <w:pPr>
      <w:autoSpaceDE w:val="0"/>
      <w:autoSpaceDN w:val="0"/>
      <w:adjustRightInd w:val="0"/>
      <w:jc w:val="left"/>
      <w:textAlignment w:val="baseline"/>
    </w:pPr>
    <w:rPr>
      <w:rFonts w:ascii="宋体"/>
      <w:kern w:val="0"/>
      <w:sz w:val="34"/>
    </w:rPr>
  </w:style>
  <w:style w:type="paragraph" w:customStyle="1" w:styleId="xl33">
    <w:name w:val="xl33"/>
    <w:basedOn w:val="Normal"/>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qFormat/>
  </w:style>
  <w:style w:type="paragraph" w:customStyle="1" w:styleId="a1">
    <w:name w:val="简单回函地址"/>
    <w:basedOn w:val="Normal"/>
    <w:qFormat/>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qFormat/>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qFormat/>
    <w:pPr>
      <w:tabs>
        <w:tab w:val="left" w:pos="840"/>
      </w:tabs>
      <w:adjustRightInd w:val="0"/>
      <w:spacing w:line="360" w:lineRule="atLeast"/>
      <w:ind w:left="840" w:hanging="360"/>
      <w:textAlignment w:val="baseline"/>
    </w:pPr>
    <w:rPr>
      <w:sz w:val="24"/>
    </w:rPr>
  </w:style>
  <w:style w:type="paragraph" w:customStyle="1" w:styleId="Style22">
    <w:name w:val="_Style 22"/>
    <w:basedOn w:val="Normal"/>
    <w:qFormat/>
    <w:pPr>
      <w:autoSpaceDE w:val="0"/>
      <w:autoSpaceDN w:val="0"/>
      <w:adjustRightInd w:val="0"/>
      <w:jc w:val="left"/>
      <w:textAlignment w:val="baseline"/>
    </w:pPr>
  </w:style>
  <w:style w:type="paragraph" w:customStyle="1" w:styleId="FormLabel">
    <w:name w:val="Form Label"/>
    <w:basedOn w:val="Normal"/>
    <w:qFormat/>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qFormat/>
    <w:pPr>
      <w:numPr>
        <w:numId w:val="2"/>
      </w:numPr>
    </w:pPr>
    <w:rPr>
      <w:sz w:val="24"/>
    </w:rPr>
  </w:style>
  <w:style w:type="paragraph" w:customStyle="1" w:styleId="Char1CharCharCharChar">
    <w:name w:val="Char1 Char Char Char Char"/>
    <w:basedOn w:val="Normal"/>
    <w:qFormat/>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qFormat/>
    <w:pPr>
      <w:autoSpaceDE w:val="0"/>
      <w:autoSpaceDN w:val="0"/>
      <w:adjustRightInd w:val="0"/>
      <w:jc w:val="left"/>
      <w:textAlignment w:val="baseline"/>
    </w:pPr>
    <w:rPr>
      <w:rFonts w:ascii="宋体"/>
      <w:kern w:val="0"/>
      <w:sz w:val="34"/>
    </w:rPr>
  </w:style>
  <w:style w:type="paragraph" w:customStyle="1" w:styleId="2111111">
    <w:name w:val="样式 样式 样式 标题 2 + 段前: 1 行 段后: 1 行1 + 段前: 1 行 段后: 1 行 + 段前: 1 行 段后..."/>
    <w:basedOn w:val="Normal"/>
    <w:qFormat/>
    <w:pPr>
      <w:keepNext/>
      <w:keepLines/>
      <w:numPr>
        <w:ilvl w:val="1"/>
        <w:numId w:val="1"/>
      </w:numPr>
      <w:spacing w:before="447" w:after="447"/>
      <w:outlineLvl w:val="1"/>
    </w:pPr>
    <w:rPr>
      <w:rFonts w:ascii="Arial" w:hAnsi="Arial"/>
      <w:b/>
      <w:sz w:val="28"/>
    </w:rPr>
  </w:style>
  <w:style w:type="paragraph" w:customStyle="1" w:styleId="xl30">
    <w:name w:val="xl30"/>
    <w:basedOn w:val="Normal"/>
    <w:qFormat/>
    <w:pPr>
      <w:widowControl/>
      <w:spacing w:before="100" w:beforeAutospacing="1" w:after="100" w:afterAutospacing="1"/>
      <w:jc w:val="right"/>
    </w:pPr>
    <w:rPr>
      <w:rFonts w:eastAsia="Arial Unicode MS"/>
      <w:kern w:val="0"/>
    </w:rPr>
  </w:style>
  <w:style w:type="paragraph" w:customStyle="1" w:styleId="Char1">
    <w:name w:val="Char1"/>
    <w:basedOn w:val="Normal"/>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xl31">
    <w:name w:val="xl31"/>
    <w:basedOn w:val="Normal"/>
    <w:qFormat/>
    <w:pPr>
      <w:widowControl/>
      <w:spacing w:before="100" w:beforeAutospacing="1" w:after="100" w:afterAutospacing="1"/>
      <w:jc w:val="center"/>
      <w:textAlignment w:val="center"/>
    </w:pPr>
    <w:rPr>
      <w:rFonts w:ascii="宋体" w:hAnsi="宋体"/>
      <w:kern w:val="0"/>
      <w:sz w:val="24"/>
    </w:rPr>
  </w:style>
  <w:style w:type="character" w:customStyle="1" w:styleId="10">
    <w:name w:val="标题 1 字符"/>
    <w:link w:val="Heading1"/>
    <w:qFormat/>
    <w:rPr>
      <w:b/>
      <w:kern w:val="44"/>
      <w:sz w:val="44"/>
    </w:rPr>
  </w:style>
  <w:style w:type="paragraph" w:styleId="ListParagraph">
    <w:name w:val="List Paragraph"/>
    <w:basedOn w:val="Normal"/>
    <w:uiPriority w:val="34"/>
    <w:qFormat/>
    <w:pPr>
      <w:ind w:firstLine="420" w:firstLineChars="200"/>
    </w:pPr>
  </w:style>
  <w:style w:type="paragraph" w:customStyle="1" w:styleId="11">
    <w:name w:val="修订1"/>
    <w:hidden/>
    <w:uiPriority w:val="71"/>
    <w:unhideWhenUsed/>
    <w:qFormat/>
    <w:rPr>
      <w:kern w:val="2"/>
      <w:sz w:val="21"/>
    </w:rPr>
  </w:style>
  <w:style w:type="paragraph" w:customStyle="1" w:styleId="z-1">
    <w:name w:val="z-窗体底端1"/>
    <w:basedOn w:val="Normal"/>
    <w:next w:val="Normal"/>
    <w:link w:val="z-"/>
    <w:uiPriority w:val="99"/>
    <w:semiHidden/>
    <w:unhideWhenUsed/>
    <w:qFormat/>
    <w:pPr>
      <w:widowControl/>
      <w:pBdr>
        <w:top w:val="single" w:sz="6" w:space="1" w:color="auto"/>
      </w:pBdr>
      <w:jc w:val="center"/>
    </w:pPr>
    <w:rPr>
      <w:rFonts w:ascii="Arial" w:hAnsi="Arial"/>
      <w:vanish/>
      <w:kern w:val="0"/>
      <w:sz w:val="16"/>
      <w:szCs w:val="16"/>
      <w:lang w:val="zh-CN"/>
    </w:rPr>
  </w:style>
  <w:style w:type="character" w:customStyle="1" w:styleId="z-">
    <w:name w:val="z-窗体底端 字符"/>
    <w:link w:val="z-1"/>
    <w:uiPriority w:val="99"/>
    <w:semiHidden/>
    <w:qFormat/>
    <w:rPr>
      <w:rFonts w:ascii="Arial" w:hAnsi="Arial" w:cs="Arial"/>
      <w:vanish/>
      <w:sz w:val="16"/>
      <w:szCs w:val="16"/>
    </w:rPr>
  </w:style>
  <w:style w:type="paragraph" w:customStyle="1" w:styleId="CharCharCharCharCharCharCharCharCharCharCharChar">
    <w:name w:val="Char Char Char Char Char Char Char Char Char Char Char Char"/>
    <w:basedOn w:val="Normal"/>
    <w:qFormat/>
    <w:pPr>
      <w:widowControl/>
      <w:spacing w:after="160" w:line="240" w:lineRule="exact"/>
      <w:jc w:val="left"/>
    </w:pPr>
    <w:rPr>
      <w:rFonts w:ascii="Tahoma" w:hAnsi="Tahoma" w:cs="Tahoma"/>
      <w:szCs w:val="21"/>
    </w:rPr>
  </w:style>
  <w:style w:type="character" w:customStyle="1" w:styleId="a2">
    <w:name w:val="页脚 字符"/>
    <w:link w:val="Footer"/>
    <w:uiPriority w:val="99"/>
    <w:qFormat/>
    <w:rPr>
      <w:kern w:val="2"/>
      <w:sz w:val="18"/>
    </w:rPr>
  </w:style>
  <w:style w:type="paragraph" w:customStyle="1" w:styleId="p0">
    <w:name w:val="p0"/>
    <w:basedOn w:val="Normal"/>
    <w:qFormat/>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qFormat/>
  </w:style>
  <w:style w:type="character" w:customStyle="1" w:styleId="a3">
    <w:name w:val="尾注文本 字符"/>
    <w:link w:val="EndnoteText"/>
    <w:semiHidden/>
    <w:qFormat/>
    <w:rPr>
      <w:kern w:val="2"/>
      <w:sz w:val="21"/>
    </w:rPr>
  </w:style>
  <w:style w:type="character" w:customStyle="1" w:styleId="12">
    <w:name w:val="批注文字 字符1"/>
    <w:qFormat/>
    <w:rPr>
      <w:kern w:val="2"/>
      <w:sz w:val="21"/>
    </w:rPr>
  </w:style>
  <w:style w:type="character" w:customStyle="1" w:styleId="a4">
    <w:name w:val="脚注文本 字符"/>
    <w:link w:val="FootnoteText"/>
    <w:rPr>
      <w:kern w:val="2"/>
      <w:sz w:val="18"/>
    </w:rPr>
  </w:style>
  <w:style w:type="paragraph" w:customStyle="1" w:styleId="ccb">
    <w:name w:val="ccb正文"/>
    <w:basedOn w:val="Normal"/>
    <w:qFormat/>
    <w:pPr>
      <w:spacing w:line="360" w:lineRule="auto"/>
      <w:ind w:firstLine="560" w:firstLineChars="200"/>
    </w:pPr>
    <w:rPr>
      <w:rFonts w:ascii="彩虹小标宋" w:eastAsia="彩虹小标宋" w:hAnsi="宋体" w:cs="宋体"/>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AEEDF-06AC-430F-9779-BF07E3CB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289</Words>
  <Characters>1652</Characters>
  <Application>Microsoft Office Word</Application>
  <DocSecurity>0</DocSecurity>
  <Lines>13</Lines>
  <Paragraphs>3</Paragraphs>
  <ScaleCrop>false</ScaleCrop>
  <Company>WwW.YlmF.CoM</Company>
  <LinksUpToDate>false</LinksUpToDate>
  <CharactersWithSpaces>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2026-03-02T06:01:00Z</dcterms:created>
  <dc:creator>CSRC</dc:creator>
  <cp:lastModifiedBy>胡伟</cp:lastModifiedBy>
  <cp:lastPrinted>2019-06-25T10:32:00Z</cp:lastPrinted>
  <dcterms:modified xsi:type="dcterms:W3CDTF">2026-03-02T06:01:00Z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35B5C29F3E794A559E6C4A059CD92EE0</vt:lpwstr>
  </property>
  <property fmtid="{D5CDD505-2E9C-101B-9397-08002B2CF9AE}" pid="3" name="KSOProductBuildVer">
    <vt:lpwstr>2052-11.8.2.12085</vt:lpwstr>
  </property>
</Properties>
</file>