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招银理财招睿鑫鼎滚动持有90天1号固定收益类理财计划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上半年</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111342</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6</w:t>
      </w:r>
      <w:r>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"_Toc256000021" </w:instrText>
      </w:r>
      <w:r>
        <w:fldChar w:fldCharType="separate"/>
      </w:r>
      <w:r>
        <w:rPr>
          <w:rStyle w:val="Hyperlink"/>
          <w:shd w:val="clear" w:color="auto" w:fill="FFFFFF"/>
        </w:rPr>
        <w:t>6</w:t>
      </w:r>
      <w:r>
        <w:rPr>
          <w:rStyle w:val="Hyperlink"/>
          <w:rFonts w:hint="eastAsia"/>
          <w:shd w:val="clear" w:color="auto" w:fill="FFFFFF"/>
        </w:rPr>
        <w:t>.1 托管人报告</w:t>
      </w:r>
      <w:r>
        <w:rPr>
          <w:rStyle w:val="Hyperlink"/>
        </w:rPr>
        <w:tab/>
      </w:r>
      <w:r>
        <w:fldChar w:fldCharType="begin"/>
      </w:r>
      <w:r>
        <w:rPr>
          <w:rStyle w:val="Hyperlink"/>
        </w:rPr>
        <w:instrText xml:space="preserve"> PAGEREF _Toc256000021 \h </w:instrText>
      </w:r>
      <w:r>
        <w:fldChar w:fldCharType="separate"/>
      </w:r>
      <w:r>
        <w:rPr>
          <w:rStyle w:val="Hyperlink"/>
        </w:rPr>
        <w:t>9</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招银理财招睿鑫鼎滚动持有90天1号固定收益类理财计划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本报告期自2026年01月01日起至2026年06月30日止。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111342</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招银理财招睿鑫鼎滚动持有90天1号固定收益类理财计划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Z7001625000024</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开放式净值</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11342P：30.00%×中国人民银行公布的活期存款利率+70.00%×中债-0-1年国债财富(总值)指数收益率；11342PA：30.00%×中国人民银行公布的活期存款利率+70.00%×中债-0-1年国债财富(总值)指数收益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以产品投资固定收益类资产不低于80%为例，根据当前市场环境下大类资产合意配置比例及大类资产收益情况，考虑杠杆和费率等因素，并结合产品投资策略，确定本理财产品业绩比较基准。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112.41</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8,505,511,589.84</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2025年05月07日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2055年05月07日（如遇非工作日/交易日顺延至下一工作日/交易日，具体以产品说明书为准，或在理财计划存续期内理财产品管理人根据本产品说明书约定事由宣布提前或延期终止本理财计划之日。）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截至本报告期末，产品的资产净值为8,805,762,358.95元，产品份额净值为1.0353元，产品份额累计净值为1.0353元。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1.91%</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2.09%</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3.08%</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2025年05月07日</w:t>
      </w:r>
      <w:r>
        <w:rPr>
          <w:rFonts w:ascii="宋体" w:hAnsi="宋体" w:cs="宋体" w:hint="eastAsia"/>
        </w:rPr>
        <w:t>，数据截至</w:t>
      </w:r>
      <w:r>
        <w:rPr>
          <w:rFonts w:ascii="宋体" w:eastAsia="宋体" w:hAnsi="宋体" w:cs="宋体"/>
          <w:b w:val="0"/>
          <w:i w:val="0"/>
          <w:color w:val="000000"/>
          <w:position w:val="-1"/>
          <w:u w:val="none"/>
        </w:rPr>
        <w:t>2026年06月30日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2026年上半年中国债市整体呈“震荡走强、利多共振”，长短端收益率同步下行但节奏分化，曲线在“10-1Y变陡、30-10Y趋平”的结构下运行，开年“极度宽松”的资金面与5月基本面偏弱、MLF超额投放共振推动利率走低，6月在多空交织中窄幅震荡；具体看，10年国债窄幅波动，5月中下旬一度下探，短端1年国债在5月初上行后整体回落，曲线延续陡峭化特征。4月中旬至月末DR007一度靠近低位、资金极度宽松叠加地缘缓和带动债市修复；5月初买断式逆回购大额净回笼引发短端调整，随后在基本面偏弱与MLF超额投放支撑下再度走强；6月资金面回归政策利率附近、收益率区间窄幅震荡并延续“牛平”结构。信用端“资产荒”延续、配置盘拉长久期下，收益率随利率债震荡下行，且低等级、长久期下行幅度更大；利差方面，3年与5年期各评级普遍收窄，但1年期高等级利差小幅走阔。</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报告期内，产品恪守稳健投资理念，在市场收益率波动期间优化久期结构，通过杠杆操作及骑乘交易等多种策略实现产品平稳运行。在严格把控信用风险的前提下，投资高性价比的票息资产以增厚产品静态收益水平。同时整体加存款、货币基金等低波资产配置，降低市场波动对产品净值的影响。</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预计下半年债市以“区间震荡、波段为主”为基调，资金面自上半年的“超宽松”温和收敛至中性偏松，央行对冲工具充足且不以收紧为目标，短端稳定性强、长端波动更大。阶段性扰动主要来自：其一，政府债净融资高峰到来，专项债、超长期特别国债与政金债集中发行带来供给脉冲；其二，名义增速温和回升、盈利修复抬升风险偏好；其三，海外高利率与中美利差约束依旧，限制长端下行空间。从季节性与资金链条看，7月相对平稳、9月易现调整，二永债对资金面与赎回的敏感度较高、波动或难避免。曲线仍处历史偏陡位置，为“骑乘”与期限利差交易提供空间，短端由资金利率锚定、稳定性更优，长端受供给与通胀预期影响、弹性与波动并存。信用方面，二季度利差收窄后处于低位，三季度在“资产荒”与供给提速的博弈中大概率低位震荡，需关注评级虚高整治对部分主体的再定价影响与二永债波动放大。</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首选中短端信用债，以票息为主，稳守底仓收益。精选流动性好的票息资产。长端利率债建议严控久期风险。待收益率阶段高位时再行波段配置，不追多。信用利差压缩后，弱资质主体需谨慎控制信用风险，关注个券基本面变化及行业分化。动态管理久期，视市场波动灵活调整，优先保收益稳定。结合税期、政府债集中缴款阶段性波动及时做好流动性安排。利用市场震荡窗口适度参与高频、趋势及波段操作，侧重结构性交易机会。增加存款、回购等低波资产配置，降低市场波动对产品净值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194,423,612.80</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30,000,000.00</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rsidR="000E06DE">
      <w:pPr>
        <w:ind w:firstLine="420" w:firstLineChars="200"/>
        <w:rPr>
          <w:rFonts w:ascii="宋体" w:hAnsi="宋体"/>
          <w:sz w:val="24"/>
          <w:szCs w:val="24"/>
          <w:lang w:val="zh-CN"/>
        </w:rPr>
      </w:pPr>
      <w:r>
        <w:rPr>
          <w:rFonts w:ascii="宋体" w:eastAsia="宋体" w:hAnsi="宋体" w:cs="宋体"/>
          <w:b w:val="0"/>
          <w:color w:val="000000"/>
          <w:sz w:val="24"/>
        </w:rPr>
        <w:t>1、本产品投资于关联方发行管理的资管产品，应付管理费12,173.96元；</w:t>
      </w:r>
    </w:p>
    <w:p w:rsidR="000E06DE" w:rsidRPr="001B5777" w:rsidP="001B5777">
      <w:pPr>
        <w:rPr>
          <w:rFonts w:ascii="宋体" w:hAnsi="宋体"/>
          <w:sz w:val="18"/>
          <w:szCs w:val="18"/>
          <w:shd w:val="clear" w:color="auto" w:fill="FFFFFF"/>
        </w:rPr>
      </w:pPr>
      <w:r w:rsidRPr="001B5777">
        <w:rPr>
          <w:rFonts w:ascii="宋体" w:hAnsi="宋体" w:hint="eastAsia"/>
          <w:szCs w:val="21"/>
          <w:shd w:val="clear" w:color="auto" w:fill="FFFFFF"/>
        </w:rPr>
        <w:t>注：此处管理费为应付金额，根据管理人或托管行等第三方提供的管理费率按日加总计算，可能与实付金额存在一定误差。</w:t>
      </w:r>
      <w:r>
        <w:cr/>
      </w:r>
      <w:r>
        <w:rPr>
          <w:rFonts w:ascii="宋体" w:eastAsia="宋体" w:hAnsi="宋体" w:cs="宋体"/>
          <w:b w:val="0"/>
          <w:i w:val="0"/>
          <w:color w:val="000000"/>
          <w:position w:val="-1"/>
          <w:sz w:val="24"/>
          <w:u w:val="none"/>
        </w:rPr>
        <w:t xml:space="preserve">    2、报告期内，本产品向招商银行股份有限公司实付销售服务费用2,261,006.14元，实付托管费用671,643.63元。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211,445,672.62</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rsidR="000E06DE" w:rsidP="006979CC">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32,603,246.47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0.33</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1,683,132,653.95</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17.00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9,931,885.18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0.10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281,808,441.90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2.85</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99,534,680.80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1.01</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3,147,980,022.29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32.03</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6,214,579,236.64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62.78</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358,006,891.16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3.64</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358,006,891.16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3.62</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26,141,363.68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0.26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974,385,571.04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9.91</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1,239,107,645.38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12.52</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5,306,653,751.01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53.99</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1,682.36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-3,788,393.72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-0.04</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9,829,563,049.51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9,898,522,519.79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定期存款12302292102000002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351,742,172.19</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3.99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汇添富中证AAA科创债ETF</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340,726,617.50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3.87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定期存款1240387770104001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233,045,555.64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定期存款1240387770104002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209,662,460.52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同业存单AAADTOTCBYC122985260415000012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175,522,572.32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同业存单AAADTOTCBYC134137260206000002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171,077,262.94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25国开11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169,150,751.82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1.92</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定期存款1240649710102001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141,164,080.14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1.60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南方0-5年江苏城投债D</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130,771,242.49</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23进出13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128,692,205.75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1.46</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2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3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2120"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截至报告期末，本产品存续的各衍生交易风险状况正常，较上一报告期期末公允价值变化1,354,370.34元，无损失，无异常情况。</w:t>
      </w:r>
    </w:p>
    <w:p w:rsidR="004B3394" w:rsidRPr="008B7BD8" w:rsidP="008B7BD8">
      <w:pPr>
        <w:rPr>
          <w:rFonts w:ascii="宋体" w:hAnsi="宋体"/>
        </w:rPr>
      </w:pPr>
      <w:r>
        <w:rPr>
          <w:rFonts w:ascii="宋体" w:eastAsia="宋体" w:hAnsi="宋体" w:cs="宋体"/>
          <w:b w:val="0"/>
          <w:i w:val="0"/>
          <w:color w:val="000000"/>
          <w:position w:val="-1"/>
          <w:u w:val="none"/>
        </w:rPr>
        <w:t>注：公允价值变化=Σ｛本报告期期末衍生品市值-上一报告期期末衍生品市值（若上一报告期期末无持仓则取买入起始日）｝</w:t>
      </w:r>
      <w:r>
        <w:cr/>
      </w:r>
      <w:r>
        <w:rPr>
          <w:rFonts w:ascii="宋体" w:eastAsia="宋体" w:hAnsi="宋体" w:cs="宋体"/>
          <w:b w:val="0"/>
          <w:i w:val="0"/>
          <w:color w:val="000000"/>
          <w:position w:val="-1"/>
          <w:u w:val="none"/>
        </w:rPr>
        <w:t>盈亏=Σ｛本报告期期末衍生品市值-初始买入本金｝，正负轧差计算，≥0则无损失。</w:t>
      </w:r>
    </w:p>
    <w:p w:rsidR="00C873CF">
      <w:bookmarkStart w:id="34" w:name="现金类理财"/>
      <w:bookmarkStart w:id="35" w:name="托管人"/>
    </w:p>
    <w:p>
      <w:pPr>
        <w:pStyle w:val="Heading1"/>
        <w:spacing w:line="360" w:lineRule="auto"/>
        <w:jc w:val="center"/>
        <w:rPr>
          <w:rFonts w:ascii="宋体" w:hAnsi="宋体"/>
          <w:sz w:val="26"/>
          <w:shd w:val="clear" w:color="auto" w:fill="FFFFFF"/>
        </w:rPr>
      </w:pPr>
      <w:bookmarkStart w:id="36" w:name="_Toc256000020"/>
      <w:r>
        <w:rPr>
          <w:rFonts w:ascii="宋体" w:hAnsi="宋体" w:hint="eastAsia"/>
          <w:sz w:val="26"/>
          <w:shd w:val="clear" w:color="auto" w:fill="FFFFFF"/>
        </w:rPr>
        <w:t>§</w:t>
      </w:r>
      <w:r>
        <w:rPr>
          <w:rFonts w:ascii="宋体" w:hAnsi="宋体"/>
          <w:sz w:val="26"/>
          <w:shd w:val="clear" w:color="auto" w:fill="FFFFFF"/>
        </w:rPr>
        <w:t>6</w:t>
      </w:r>
      <w:r>
        <w:rPr>
          <w:rFonts w:ascii="宋体" w:hAnsi="宋体" w:hint="eastAsia"/>
          <w:sz w:val="26"/>
          <w:shd w:val="clear" w:color="auto" w:fill="FFFFFF"/>
        </w:rPr>
        <w:t xml:space="preserve"> 托管人报告</w:t>
      </w:r>
      <w:bookmarkEnd w:id="36"/>
      <w:bookmarkStart w:id="37" w:name="_Toc12382926"/>
      <w:bookmarkEnd w:id="37"/>
    </w:p>
    <w:p>
      <w:pPr>
        <w:pStyle w:val="Heading2"/>
        <w:spacing w:line="360" w:lineRule="auto"/>
        <w:rPr>
          <w:shd w:val="clear" w:color="auto" w:fill="FFFFFF"/>
        </w:rPr>
      </w:pPr>
      <w:bookmarkStart w:id="38" w:name="_Toc256000021"/>
      <w:r>
        <w:rPr>
          <w:shd w:val="clear" w:color="auto" w:fill="FFFFFF"/>
        </w:rPr>
        <w:t>6</w:t>
      </w:r>
      <w:r>
        <w:rPr>
          <w:rFonts w:hint="eastAsia"/>
          <w:shd w:val="clear" w:color="auto" w:fill="FFFFFF"/>
        </w:rPr>
        <w:t>.1 托管人报告</w:t>
      </w:r>
      <w:bookmarkEnd w:id="38"/>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6.1.1托管人履职情况</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（一）托管资产保管</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托管资产独立于</w:t>
      </w:r>
      <w:r>
        <w:rPr>
          <w:rFonts w:ascii="宋体" w:hAnsi="宋体" w:hint="eastAsia"/>
          <w:sz w:val="24"/>
          <w:highlight w:val="none"/>
          <w:shd w:val="clear" w:color="auto" w:fill="FFFFFF"/>
        </w:rPr>
        <w:t>托管人</w:t>
      </w:r>
      <w:r>
        <w:rPr>
          <w:rFonts w:ascii="宋体" w:hAnsi="宋体"/>
          <w:sz w:val="24"/>
          <w:highlight w:val="none"/>
          <w:shd w:val="clear" w:color="auto" w:fill="FFFFFF"/>
        </w:rPr>
        <w:t>的自有资产及其托管的其他资产，不同投资账户之间的托管资产之间互相独立。</w:t>
      </w:r>
      <w:r>
        <w:rPr>
          <w:rFonts w:ascii="宋体" w:hAnsi="宋体" w:hint="eastAsia"/>
          <w:sz w:val="24"/>
          <w:highlight w:val="none"/>
          <w:shd w:val="clear" w:color="auto" w:fill="FFFFFF"/>
        </w:rPr>
        <w:t>托管人</w:t>
      </w:r>
      <w:r>
        <w:rPr>
          <w:rFonts w:ascii="宋体" w:hAnsi="宋体"/>
          <w:sz w:val="24"/>
          <w:highlight w:val="none"/>
          <w:shd w:val="clear" w:color="auto" w:fill="FFFFFF"/>
        </w:rPr>
        <w:t>按照监管相关规定，完整保存与托管资产有关的会计档案、与托管资产有关的投资记录、指令和合同等。</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（二）会计核算和估值</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托管人按照与管理人在托管协议中约定的统一记账方法和会计处理原则，独立地设置、登录和保管本产品的全套账册，进行会计核算和资产估值。</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（三）定期核对有关数据</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托管人根据托管协议约定与管理人定期进行账务核对。</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（四）投资监督</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托管人根据法规、托管协议以及双方约定的投资监督条款，对投资运作情况进行监督。</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6.1.2托管人声明</w:t>
      </w:r>
    </w:p>
    <w:p>
      <w:pPr>
        <w:ind w:firstLine="420" w:firstLineChars="200"/>
      </w:pPr>
      <w:r>
        <w:rPr>
          <w:rFonts w:ascii="宋体" w:hAnsi="宋体" w:hint="eastAsia"/>
          <w:sz w:val="24"/>
          <w:highlight w:val="none"/>
          <w:shd w:val="clear" w:color="auto" w:fill="FFFFFF"/>
        </w:rPr>
        <w:t>托管人具备完善的公司治理结构、内部稽核监控制度和风险控制制度，托管人在本产品托管的过程中，严格遵守有关法律法规、托管协议的规定，尽职尽责地履行托管义务并安全保管托管资产。</w:t>
      </w:r>
    </w:p>
    <w:p w:rsidR="00C873CF"/>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2026年06月30日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招银理财招睿鑫鼎滚动持有90天1号固定收益类理财计划2026年上半年报告（产品代码：111342）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