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幸福99丰裕固收1099天24267期理财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幸福99丰裕固收1099天24267期理财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FYG24267</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Z7002224000332</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2024年11月20日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2027年11月24日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2.90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113,489,060.64</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100.51</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113,489,060.64</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108,216,709.00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1.0487</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1.0487</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丰裕固收24267期A款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FYG24267A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1.0471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1.0471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2,309,342.04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丰裕固收24267期C款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FYG24267C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1.0488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1.0488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1,381,610.18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丰裕固收24267期E款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FYG24267E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1.0488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1.0488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109,798,108.42</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丰裕固收24267期A款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丰裕固收24267期C款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丰裕固收24267期E款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3.03</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1.90</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0.11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39.98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43.63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13.60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98.10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交银国信·融诚846号集合资金信托计划-余杭城投-1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26,513,322.10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23.36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中信信托·宁波舜通集团债权投资（新悦165号）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25,483,771.64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22.46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中加享利三年债券</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6,008,923.51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5.29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鑫元安睿定期开放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3,053,823.09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26国开03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2,442,395.23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25工行二级资本债03BC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1,458,129.34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25中行TLAC非资本债02(BC)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1,371,183.82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26国开05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1,365,381.67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25国开15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1,279,742.24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东方卓行18个月定开债券A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1,232,780.98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1.09</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宁波舜通集团有限公司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中信信托·宁波舜通集团债权投资（新悦165号）</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2027-11-15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25,483,771.64</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杭州余杭城市发展投资集团有限公司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交银国信·融诚846号集合资金信托计划-余杭城投-1</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2026-11-30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26,513,322.10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108,216,709.00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108,216,709.00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杭银理财幸福99丰裕固收1099天24267期理财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3301040160015309811-5124267</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