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幸福99丰裕固收762天24232期理财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幸福99丰裕固收762天24232期理财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FYG24232</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Z7002224000286</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2024年10月10日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2026年11月11日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2.95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456,889,380.45</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100.74</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456,889,380.45</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433,691,517.00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1.0535</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1.0535</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丰裕固收24232期A款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FYG24232A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1.0518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1.0518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11,674,678.80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丰裕固收24232期B款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FYG24232B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1.0552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1.0552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14,917,609.95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丰裕固收24232期C款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FYG24232C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1.0535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1.0535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33,372,445.66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丰裕固收24232期D款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FYG24232D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1.0543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1.0543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7,144,974.22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丰裕固收24232期E款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FYG24232E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1.0535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1.0535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389,779,671.82</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丰裕固收24232期A款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丰裕固收24232期B款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丰裕固收24232期C款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丰裕固收24232期D款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丰裕固收24232期E款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3.11</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1.32</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51.71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44.25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69.73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中信信托·惠州仲恺城发债权2403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121,108,717.51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中信信托·新悦116号·绍兴滨海债权投资计划-1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89,024,988.74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24崇德投资PPN001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40,671,695.89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8.90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23工行二级资本债01A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31,776,177.36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6.95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24溧水经开PPN006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30,586,092.74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23蓝天02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20,505,105.48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24淮城01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10,225,487.40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4,675,679.40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25邗江01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3,349,437.61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25工行二级资本债03BC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2,824,716.14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0.62</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惠州仲恺城市发展集团有限公司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中信信托·惠州仲恺城发债权2403</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2026-11-09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121,108,717.51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绍兴滨海新区发展集团有限公司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中信信托·新悦116号·绍兴滨海债权投资计划-1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2026-10-19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89,024,988.74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433,691,517.00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433,691,517.00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杭银理财幸福99丰裕固收762天24232期理财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3301040160015309811-5124232</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