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22.12.0 -->
  <w:body>
    <w:p w:rsidR="006F774D" w:rsidP="006F774D" w14:paraId="607DA854" w14:textId="77777777">
      <w:pPr>
        <w:jc w:val="center"/>
        <w:rPr>
          <w:rFonts w:ascii="宋体" w:eastAsia="宋体" w:hAnsi="宋体" w:hint="eastAsia"/>
          <w:b/>
          <w:sz w:val="32"/>
          <w:szCs w:val="20"/>
        </w:rPr>
      </w:pPr>
      <w:bookmarkStart w:id="0" w:name="_Toc379618105"/>
    </w:p>
    <w:p w:rsidR="006F774D" w:rsidP="006F774D" w14:paraId="4FAF8F35" w14:textId="77777777">
      <w:pPr>
        <w:adjustRightInd w:val="0"/>
        <w:snapToGrid w:val="0"/>
        <w:spacing w:line="460" w:lineRule="exact"/>
        <w:jc w:val="center"/>
        <w:rPr>
          <w:rFonts w:ascii="Times New Roman" w:eastAsia="方正楷体简体" w:hAnsi="Times New Roman"/>
          <w:sz w:val="24"/>
        </w:rPr>
      </w:pPr>
    </w:p>
    <w:p w:rsidR="006F774D" w:rsidP="006F774D" w14:paraId="1D15C54A" w14:textId="77777777">
      <w:pPr>
        <w:rPr>
          <w:rFonts w:hint="eastAsia"/>
        </w:rPr>
      </w:pPr>
    </w:p>
    <w:p w:rsidR="006F774D" w:rsidRPr="00D04B68" w:rsidP="006F774D" w14:paraId="673E63F9" w14:textId="77777777">
      <w:pPr>
        <w:autoSpaceDE w:val="0"/>
        <w:autoSpaceDN w:val="0"/>
        <w:spacing w:before="220"/>
        <w:jc w:val="center"/>
        <w:rPr>
          <w:rFonts w:asciiTheme="majorEastAsia" w:eastAsiaTheme="majorEastAsia" w:hAnsiTheme="majorEastAsia" w:cs="仿宋_GB2312" w:hint="eastAsia"/>
          <w:b/>
          <w:kern w:val="0"/>
          <w:sz w:val="52"/>
          <w:szCs w:val="52"/>
          <w:lang w:bidi="zh-CN"/>
        </w:rPr>
      </w:pPr>
      <w:r w:rsidRPr="00D04B68">
        <w:rPr>
          <w:rFonts w:asciiTheme="majorEastAsia" w:eastAsiaTheme="majorEastAsia" w:hAnsiTheme="majorEastAsia" w:cs="仿宋_GB2312" w:hint="eastAsia"/>
          <w:b/>
          <w:kern w:val="0"/>
          <w:sz w:val="52"/>
          <w:szCs w:val="52"/>
          <w:lang w:bidi="zh-CN"/>
        </w:rPr>
        <w:t>幸福99丰裕固收762天24242期理财</w:t>
      </w:r>
    </w:p>
    <w:p w:rsidR="006F774D" w:rsidRPr="00D04B68" w:rsidP="006F774D" w14:paraId="5F8E3B38" w14:textId="77777777">
      <w:pPr>
        <w:autoSpaceDE w:val="0"/>
        <w:autoSpaceDN w:val="0"/>
        <w:spacing w:line="360" w:lineRule="auto"/>
        <w:jc w:val="center"/>
        <w:rPr>
          <w:rFonts w:asciiTheme="majorEastAsia" w:eastAsiaTheme="majorEastAsia" w:hAnsiTheme="majorEastAsia" w:cs="仿宋_GB2312" w:hint="eastAsia"/>
          <w:b/>
          <w:bCs/>
          <w:kern w:val="0"/>
          <w:sz w:val="44"/>
          <w:szCs w:val="44"/>
          <w:lang w:bidi="zh-CN"/>
        </w:rPr>
      </w:pPr>
      <w:r w:rsidRPr="00D04B68">
        <w:rPr>
          <w:rFonts w:asciiTheme="majorEastAsia" w:eastAsiaTheme="majorEastAsia" w:hAnsiTheme="majorEastAsia" w:cs="仿宋_GB2312" w:hint="eastAsia"/>
          <w:b/>
          <w:bCs/>
          <w:kern w:val="0"/>
          <w:sz w:val="44"/>
          <w:szCs w:val="44"/>
          <w:lang w:bidi="zh-CN"/>
        </w:rPr>
        <w:t>2026</w:t>
      </w:r>
      <w:r>
        <w:rPr>
          <w:b/>
          <w:sz w:val="44"/>
        </w:rPr>
        <w:t>年半年度报告</w:t>
      </w:r>
    </w:p>
    <w:p w:rsidR="006F774D" w:rsidP="006F774D" w14:paraId="6E82C588" w14:textId="77777777">
      <w:pPr>
        <w:jc w:val="center"/>
        <w:rPr>
          <w:rFonts w:ascii="宋体" w:eastAsia="宋体" w:hAnsi="宋体" w:hint="eastAsia"/>
          <w:color w:val="0000FF"/>
          <w:kern w:val="0"/>
          <w:sz w:val="18"/>
          <w:szCs w:val="20"/>
        </w:rPr>
      </w:pPr>
    </w:p>
    <w:p w:rsidR="006F774D" w:rsidP="006F774D" w14:paraId="29E0EBB8" w14:textId="77777777">
      <w:pPr>
        <w:jc w:val="center"/>
        <w:rPr>
          <w:rFonts w:ascii="Times New Roman" w:eastAsia="宋体" w:hAnsi="Times New Roman"/>
          <w:sz w:val="24"/>
        </w:rPr>
      </w:pPr>
    </w:p>
    <w:p w:rsidR="006F774D" w:rsidP="006F774D" w14:paraId="34BFA851" w14:textId="77777777">
      <w:pPr>
        <w:jc w:val="center"/>
        <w:rPr>
          <w:rFonts w:eastAsia="宋体" w:hint="eastAsia"/>
          <w:sz w:val="24"/>
        </w:rPr>
      </w:pPr>
    </w:p>
    <w:p w:rsidR="006F774D" w:rsidP="006F774D" w14:paraId="37A9074A" w14:textId="77777777">
      <w:pPr>
        <w:jc w:val="center"/>
        <w:rPr>
          <w:rFonts w:eastAsia="宋体" w:hint="eastAsia"/>
          <w:sz w:val="24"/>
        </w:rPr>
      </w:pPr>
    </w:p>
    <w:p w:rsidR="006F774D" w:rsidP="006F774D" w14:paraId="6A896FE2" w14:textId="77777777">
      <w:pPr>
        <w:jc w:val="center"/>
        <w:rPr>
          <w:rFonts w:ascii="仿宋" w:eastAsia="仿宋" w:hAnsi="仿宋" w:hint="eastAsia"/>
          <w:sz w:val="24"/>
        </w:rPr>
      </w:pPr>
    </w:p>
    <w:p w:rsidR="006F774D" w:rsidP="006F774D" w14:paraId="35960E50" w14:textId="77777777">
      <w:pPr>
        <w:jc w:val="center"/>
        <w:rPr>
          <w:rFonts w:ascii="仿宋" w:eastAsia="仿宋" w:hAnsi="仿宋" w:hint="eastAsia"/>
          <w:sz w:val="24"/>
        </w:rPr>
      </w:pPr>
    </w:p>
    <w:p w:rsidR="006F774D" w:rsidRPr="00D04B68" w:rsidP="006F774D" w14:paraId="58AFEB67" w14:textId="77777777">
      <w:pPr>
        <w:jc w:val="center"/>
        <w:rPr>
          <w:rFonts w:asciiTheme="minorEastAsia" w:eastAsiaTheme="minorEastAsia" w:hAnsiTheme="minorEastAsia" w:hint="eastAsia"/>
          <w:sz w:val="24"/>
        </w:rPr>
      </w:pPr>
      <w:r w:rsidRPr="00D04B68">
        <w:rPr>
          <w:rFonts w:asciiTheme="minorEastAsia" w:eastAsiaTheme="minorEastAsia" w:hAnsiTheme="minorEastAsia" w:hint="eastAsia"/>
          <w:sz w:val="24"/>
        </w:rPr>
        <w:t>产品管理人：</w:t>
      </w:r>
      <w:r w:rsidRPr="00D04B68">
        <w:rPr>
          <w:rFonts w:asciiTheme="minorEastAsia" w:eastAsiaTheme="minorEastAsia" w:hAnsiTheme="minorEastAsia"/>
          <w:sz w:val="24"/>
        </w:rPr>
        <w:t>杭银理财有限责任公司</w:t>
      </w:r>
    </w:p>
    <w:p w:rsidR="006F774D" w:rsidRPr="00D04B68" w:rsidP="006F774D" w14:paraId="6FE6AE2C" w14:textId="77777777">
      <w:pPr>
        <w:jc w:val="center"/>
        <w:rPr>
          <w:rFonts w:asciiTheme="minorEastAsia" w:eastAsiaTheme="minorEastAsia" w:hAnsiTheme="minorEastAsia" w:hint="eastAsia"/>
          <w:sz w:val="24"/>
        </w:rPr>
      </w:pPr>
      <w:r w:rsidRPr="00D04B68">
        <w:rPr>
          <w:rFonts w:asciiTheme="minorEastAsia" w:eastAsiaTheme="minorEastAsia" w:hAnsiTheme="minorEastAsia" w:hint="eastAsia"/>
          <w:sz w:val="24"/>
        </w:rPr>
        <w:t>产品托管人：</w:t>
      </w:r>
      <w:r w:rsidRPr="00D04B68">
        <w:rPr>
          <w:rFonts w:asciiTheme="minorEastAsia" w:eastAsiaTheme="minorEastAsia" w:hAnsiTheme="minorEastAsia"/>
          <w:sz w:val="24"/>
        </w:rPr>
        <w:t>杭州银行股份有限公司</w:t>
      </w:r>
    </w:p>
    <w:p w:rsidR="006F774D" w:rsidRPr="00D04B68" w:rsidP="006F774D" w14:paraId="7FB4D36E" w14:textId="77777777">
      <w:pPr>
        <w:jc w:val="center"/>
        <w:rPr>
          <w:rFonts w:asciiTheme="minorEastAsia" w:eastAsiaTheme="minorEastAsia" w:hAnsiTheme="minorEastAsia" w:hint="eastAsia"/>
          <w:sz w:val="24"/>
        </w:rPr>
      </w:pPr>
    </w:p>
    <w:p w:rsidR="006F774D" w:rsidRPr="00D04B68" w:rsidP="006F774D" w14:paraId="57201021" w14:textId="77777777">
      <w:pPr>
        <w:jc w:val="center"/>
        <w:rPr>
          <w:rFonts w:asciiTheme="minorEastAsia" w:eastAsiaTheme="minorEastAsia" w:hAnsiTheme="minorEastAsia" w:hint="eastAsia"/>
          <w:sz w:val="24"/>
        </w:rPr>
      </w:pPr>
    </w:p>
    <w:p w:rsidR="006F774D" w:rsidRPr="00D04B68" w:rsidP="006F774D" w14:paraId="0417B4DB" w14:textId="77777777">
      <w:pPr>
        <w:jc w:val="center"/>
        <w:rPr>
          <w:rFonts w:asciiTheme="minorEastAsia" w:eastAsiaTheme="minorEastAsia" w:hAnsiTheme="minorEastAsia" w:hint="eastAsia"/>
          <w:sz w:val="24"/>
        </w:rPr>
      </w:pPr>
    </w:p>
    <w:p w:rsidR="006F774D" w:rsidRPr="00D04B68" w:rsidP="006F774D" w14:paraId="1C81FA7F" w14:textId="77777777">
      <w:pPr>
        <w:jc w:val="center"/>
        <w:rPr>
          <w:rFonts w:asciiTheme="minorEastAsia" w:eastAsiaTheme="minorEastAsia" w:hAnsiTheme="minorEastAsia" w:hint="eastAsia"/>
          <w:sz w:val="24"/>
        </w:rPr>
      </w:pPr>
      <w:r w:rsidRPr="00D04B68">
        <w:rPr>
          <w:rFonts w:asciiTheme="minorEastAsia" w:eastAsiaTheme="minorEastAsia" w:hAnsiTheme="minorEastAsia"/>
          <w:sz w:val="24"/>
        </w:rPr>
        <w:t>2026年7月30日</w:t>
      </w:r>
    </w:p>
    <w:p w:rsidR="006F774D" w:rsidP="006F774D" w14:paraId="417391CF" w14:textId="77777777">
      <w:pPr>
        <w:jc w:val="center"/>
        <w:rPr>
          <w:rFonts w:ascii="仿宋" w:eastAsia="仿宋" w:hAnsi="仿宋" w:hint="eastAsia"/>
          <w:sz w:val="24"/>
        </w:rPr>
      </w:pPr>
    </w:p>
    <w:p w:rsidR="006F774D" w:rsidP="006F774D" w14:paraId="09AD8A78" w14:textId="77777777">
      <w:pPr>
        <w:jc w:val="center"/>
        <w:rPr>
          <w:rFonts w:ascii="仿宋" w:eastAsia="仿宋" w:hAnsi="仿宋" w:hint="eastAsia"/>
          <w:sz w:val="24"/>
        </w:rPr>
      </w:pPr>
    </w:p>
    <w:p w:rsidR="006F774D" w:rsidP="006F774D" w14:paraId="61A5D005" w14:textId="77777777">
      <w:pPr>
        <w:jc w:val="center"/>
        <w:rPr>
          <w:rFonts w:ascii="宋体" w:eastAsia="宋体" w:hAnsi="宋体" w:hint="eastAsia"/>
        </w:rPr>
      </w:pPr>
    </w:p>
    <w:p w:rsidR="006F774D" w:rsidP="006F774D" w14:paraId="312A3306" w14:textId="77777777">
      <w:pPr>
        <w:jc w:val="center"/>
        <w:rPr>
          <w:rFonts w:ascii="宋体" w:eastAsia="宋体" w:hAnsi="宋体" w:hint="eastAsia"/>
        </w:rPr>
      </w:pPr>
    </w:p>
    <w:p w:rsidR="00751A16" w:rsidRPr="00D04B68" w14:paraId="3AF4338A" w14:textId="77777777">
      <w:pPr>
        <w:pStyle w:val="Heading2"/>
        <w:adjustRightInd w:val="0"/>
        <w:snapToGrid w:val="0"/>
        <w:spacing w:line="560" w:lineRule="exact"/>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  重要提示</w:t>
      </w:r>
      <w:bookmarkEnd w:id="0"/>
    </w:p>
    <w:tbl>
      <w:tblPr>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120"/>
      </w:tblGrid>
      <w:tr w14:paraId="47E7DF93" w14:textId="77777777">
        <w:tblPrEx>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3141"/>
        </w:trPr>
        <w:tc>
          <w:tcPr>
            <w:tcW w:w="9120" w:type="dxa"/>
            <w:tcBorders>
              <w:top w:val="single" w:sz="4" w:space="0" w:color="auto"/>
              <w:left w:val="single" w:sz="4" w:space="0" w:color="auto"/>
              <w:bottom w:val="single" w:sz="4" w:space="0" w:color="auto"/>
              <w:right w:val="single" w:sz="4" w:space="0" w:color="auto"/>
            </w:tcBorders>
          </w:tcPr>
          <w:p w:rsidR="00751A16" w:rsidRPr="00D04B68" w14:paraId="4569FE1D"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产品管理人承诺以诚实信用、勤勉尽责的原则管理和运用产品资产，并如实反映产品财务指标及投资组合情况，但不保证产品一定盈利。</w:t>
            </w:r>
          </w:p>
          <w:p w:rsidR="00751A16" w:rsidRPr="00D04B68" w14:paraId="0E46753B"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产品托管人根据本</w:t>
            </w:r>
            <w:r w:rsidRPr="00D04B68">
              <w:rPr>
                <w:rFonts w:asciiTheme="minorEastAsia" w:eastAsiaTheme="minorEastAsia" w:hAnsiTheme="minorEastAsia" w:cs="仿宋" w:hint="eastAsia"/>
                <w:color w:val="000000"/>
                <w:sz w:val="24"/>
              </w:rPr>
              <w:t>产品</w:t>
            </w:r>
            <w:r w:rsidRPr="00D04B68">
              <w:rPr>
                <w:rFonts w:asciiTheme="minorEastAsia" w:eastAsiaTheme="minorEastAsia" w:hAnsiTheme="minorEastAsia" w:cs="仿宋" w:hint="eastAsia"/>
                <w:color w:val="404040"/>
                <w:kern w:val="0"/>
                <w:sz w:val="24"/>
              </w:rPr>
              <w:t>合同规定，于</w:t>
            </w:r>
            <w:r>
              <w:rPr>
                <w:color w:val="404040"/>
                <w:sz w:val="24"/>
              </w:rPr>
              <w:t>2026年6月30日</w:t>
            </w:r>
            <w:r w:rsidRPr="00D04B68">
              <w:rPr>
                <w:rFonts w:asciiTheme="minorEastAsia" w:eastAsiaTheme="minorEastAsia" w:hAnsiTheme="minorEastAsia" w:cs="仿宋" w:hint="eastAsia"/>
                <w:color w:val="404040"/>
                <w:kern w:val="0"/>
                <w:sz w:val="24"/>
              </w:rPr>
              <w:t>复核了本报告中的财务指标、净值表现和投资组合报告等内容，保证复核内容不存在虚假记载、误导性陈述或者重大遗漏。</w:t>
            </w:r>
          </w:p>
          <w:p w:rsidR="00751A16" w:rsidRPr="00D04B68" w14:paraId="400C11FB"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产品的过往业绩并不代表其未来表现。投资有风险，投资者在</w:t>
            </w:r>
            <w:r w:rsidRPr="00D04B68">
              <w:rPr>
                <w:rFonts w:asciiTheme="minorEastAsia" w:eastAsiaTheme="minorEastAsia" w:hAnsiTheme="minorEastAsia" w:cs="仿宋" w:hint="eastAsia"/>
                <w:color w:val="404040"/>
                <w:kern w:val="0"/>
                <w:sz w:val="24"/>
              </w:rPr>
              <w:t>作出</w:t>
            </w:r>
            <w:r w:rsidRPr="00D04B68">
              <w:rPr>
                <w:rFonts w:asciiTheme="minorEastAsia" w:eastAsiaTheme="minorEastAsia" w:hAnsiTheme="minorEastAsia" w:cs="仿宋" w:hint="eastAsia"/>
                <w:color w:val="404040"/>
                <w:kern w:val="0"/>
                <w:sz w:val="24"/>
              </w:rPr>
              <w:t>投资决策前应仔细阅读本</w:t>
            </w:r>
            <w:r w:rsidRPr="00D04B68">
              <w:rPr>
                <w:rFonts w:asciiTheme="minorEastAsia" w:eastAsiaTheme="minorEastAsia" w:hAnsiTheme="minorEastAsia" w:cs="仿宋" w:hint="eastAsia"/>
                <w:color w:val="000000"/>
                <w:sz w:val="24"/>
              </w:rPr>
              <w:t>产品</w:t>
            </w:r>
            <w:r w:rsidRPr="00D04B68">
              <w:rPr>
                <w:rFonts w:asciiTheme="minorEastAsia" w:eastAsiaTheme="minorEastAsia" w:hAnsiTheme="minorEastAsia" w:cs="仿宋" w:hint="eastAsia"/>
                <w:color w:val="404040"/>
                <w:kern w:val="0"/>
                <w:sz w:val="24"/>
              </w:rPr>
              <w:t>的产品说明书。</w:t>
            </w:r>
          </w:p>
          <w:p w:rsidR="00751A16" w:rsidRPr="00D04B68" w14:paraId="2A1A90D8"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本报告中财务资料未经审计。</w:t>
            </w:r>
          </w:p>
          <w:p w:rsidR="00751A16" w:rsidRPr="00D04B68" w14:paraId="58336CF5" w14:textId="77777777">
            <w:pPr>
              <w:widowControl/>
              <w:adjustRightInd w:val="0"/>
              <w:snapToGrid w:val="0"/>
              <w:spacing w:line="420" w:lineRule="exact"/>
              <w:ind w:firstLine="480" w:firstLineChars="20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color w:val="404040"/>
                <w:kern w:val="0"/>
                <w:sz w:val="24"/>
              </w:rPr>
              <w:t>本报告期自</w:t>
            </w:r>
            <w:r>
              <w:rPr>
                <w:color w:val="404040"/>
                <w:sz w:val="24"/>
              </w:rPr>
              <w:t>2026年1月1日</w:t>
            </w:r>
            <w:r w:rsidRPr="00D04B68">
              <w:rPr>
                <w:rFonts w:asciiTheme="minorEastAsia" w:eastAsiaTheme="minorEastAsia" w:hAnsiTheme="minorEastAsia" w:cs="仿宋" w:hint="eastAsia"/>
                <w:color w:val="404040"/>
                <w:kern w:val="0"/>
                <w:sz w:val="24"/>
              </w:rPr>
              <w:t>起至</w:t>
            </w:r>
            <w:r>
              <w:rPr>
                <w:color w:val="404040"/>
                <w:sz w:val="24"/>
              </w:rPr>
              <w:t>2026年6月30日</w:t>
            </w:r>
            <w:r w:rsidRPr="00D04B68">
              <w:rPr>
                <w:rFonts w:asciiTheme="minorEastAsia" w:eastAsiaTheme="minorEastAsia" w:hAnsiTheme="minorEastAsia" w:cs="仿宋" w:hint="eastAsia"/>
                <w:color w:val="404040"/>
                <w:kern w:val="0"/>
                <w:sz w:val="24"/>
              </w:rPr>
              <w:t>止。</w:t>
            </w:r>
          </w:p>
        </w:tc>
      </w:tr>
    </w:tbl>
    <w:p w:rsidR="00751A16" w:rsidRPr="00D04B68" w14:paraId="2578EBD0" w14:textId="77777777">
      <w:pPr>
        <w:rPr>
          <w:rStyle w:val="a1"/>
          <w:rFonts w:asciiTheme="minorEastAsia" w:eastAsiaTheme="minorEastAsia" w:hAnsiTheme="minorEastAsia" w:cs="仿宋" w:hint="eastAsia"/>
          <w:color w:val="0000FF"/>
          <w:sz w:val="24"/>
        </w:rPr>
      </w:pPr>
    </w:p>
    <w:p w:rsidR="00751A16" w:rsidRPr="00D04B68" w14:paraId="2AFB4323"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 w:name="_Toc67575498"/>
      <w:r w:rsidRPr="00D04B68">
        <w:rPr>
          <w:rFonts w:asciiTheme="minorEastAsia" w:eastAsiaTheme="minorEastAsia" w:hAnsiTheme="minorEastAsia" w:cs="仿宋" w:hint="eastAsia"/>
          <w:sz w:val="24"/>
        </w:rPr>
        <w:t>§2  产品概况</w:t>
      </w:r>
      <w:bookmarkEnd w:id="1"/>
    </w:p>
    <w:p w:rsidR="00751A16" w:rsidRPr="00D04B68" w14:paraId="044B4E84" w14:textId="77777777">
      <w:pPr>
        <w:adjustRightInd w:val="0"/>
        <w:snapToGrid w:val="0"/>
        <w:spacing w:line="440" w:lineRule="exact"/>
        <w:outlineLvl w:val="2"/>
        <w:rPr>
          <w:rFonts w:asciiTheme="minorEastAsia" w:eastAsiaTheme="minorEastAsia" w:hAnsiTheme="minorEastAsia" w:cs="仿宋" w:hint="eastAsia"/>
          <w:b/>
          <w:sz w:val="24"/>
        </w:rPr>
      </w:pPr>
      <w:bookmarkStart w:id="2" w:name="_Toc354129567"/>
      <w:bookmarkStart w:id="3" w:name="_Toc1870029270"/>
      <w:r w:rsidRPr="00D04B68">
        <w:rPr>
          <w:rFonts w:asciiTheme="minorEastAsia" w:eastAsiaTheme="minorEastAsia" w:hAnsiTheme="minorEastAsia" w:cs="仿宋" w:hint="eastAsia"/>
          <w:b/>
          <w:sz w:val="24"/>
        </w:rPr>
        <w:t>2.1 产品基本情况</w:t>
      </w:r>
      <w:bookmarkEnd w:id="2"/>
      <w:bookmarkEnd w:id="3"/>
    </w:p>
    <w:tbl>
      <w:tblPr>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355"/>
        <w:gridCol w:w="5784"/>
      </w:tblGrid>
      <w:tr w14:paraId="46612FF4" w14:textId="77777777">
        <w:tblPrEx>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580FC54A"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产品名称</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70108F95"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幸福99丰裕固收762天24242期理财</w:t>
            </w:r>
          </w:p>
        </w:tc>
      </w:tr>
      <w:tr w14:paraId="6621B2E3"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197981FA"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产品代码</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657C2198"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FYG24242</w:t>
            </w:r>
          </w:p>
        </w:tc>
      </w:tr>
      <w:tr w14:paraId="278D2244"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35D8932B"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理财信息登记系统登记编码</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5092B741"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Z7002224000296</w:t>
            </w:r>
          </w:p>
        </w:tc>
      </w:tr>
      <w:tr w14:paraId="2FDB52A7"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6C684286"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产品成立日</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76CCF4E1"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2024年10月24日</w:t>
            </w:r>
          </w:p>
        </w:tc>
      </w:tr>
      <w:tr w14:paraId="0E3CE00F"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0BFE8E5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产品到期日</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3FA73F8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2026年11月25日</w:t>
            </w:r>
          </w:p>
        </w:tc>
      </w:tr>
      <w:tr w14:paraId="0D81028A"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506C53E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产品募集方式</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66DB7E1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公募</w:t>
            </w:r>
          </w:p>
        </w:tc>
      </w:tr>
      <w:tr w14:paraId="15D22C34"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294B14DE"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产品运作模式</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406C4CFC"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封闭式净值型</w:t>
            </w:r>
          </w:p>
        </w:tc>
      </w:tr>
      <w:tr w14:paraId="2C3F8ED9"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3AF6736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产品投资性质</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1BB5E5DA"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固定收益类</w:t>
            </w:r>
          </w:p>
        </w:tc>
      </w:tr>
      <w:tr w14:paraId="3225F7BB"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1D57EC95"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业绩比较基准（%）</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511BCA1F"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2.85</w:t>
            </w:r>
          </w:p>
        </w:tc>
      </w:tr>
      <w:tr w14:paraId="0D3B8E6C"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759D8D0F"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报告期末产品规模（</w:t>
            </w:r>
            <w:r w:rsidRPr="00D04B68" w:rsidR="00D47532">
              <w:rPr>
                <w:rFonts w:asciiTheme="minorEastAsia" w:eastAsiaTheme="minorEastAsia" w:hAnsiTheme="minorEastAsia" w:cs="仿宋" w:hint="eastAsia"/>
                <w:sz w:val="24"/>
              </w:rPr>
              <w:t>元</w:t>
            </w:r>
            <w:r w:rsidRPr="00D04B68">
              <w:rPr>
                <w:rFonts w:asciiTheme="minorEastAsia" w:eastAsiaTheme="minorEastAsia" w:hAnsiTheme="minorEastAsia" w:cs="仿宋" w:hint="eastAsia"/>
                <w:kern w:val="0"/>
                <w:sz w:val="24"/>
              </w:rPr>
              <w:t>）</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38396745"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273,985,149.45</w:t>
            </w:r>
          </w:p>
        </w:tc>
      </w:tr>
      <w:tr w14:paraId="38B422A2"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40D37C3B"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杠杆水平（%）</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0C51C9B7"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107.07</w:t>
            </w:r>
          </w:p>
        </w:tc>
      </w:tr>
      <w:tr w14:paraId="3A42A640"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71A180AF"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风险等级</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5BD29FA0"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二级（中低）</w:t>
            </w:r>
          </w:p>
        </w:tc>
      </w:tr>
      <w:tr w14:paraId="21D00FCA"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29F0B906"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产品管理人</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12F6D181"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杭银理财有限责任公司</w:t>
            </w:r>
          </w:p>
        </w:tc>
      </w:tr>
      <w:tr w14:paraId="4DD895E0"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45FA8EA0"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产品托管人</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383E6C9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杭州银行股份有限公司</w:t>
            </w:r>
          </w:p>
        </w:tc>
      </w:tr>
    </w:tbl>
    <w:p w:rsidR="00751A16" w:rsidRPr="00D04B68" w14:paraId="08FA94FC" w14:textId="77777777">
      <w:pPr>
        <w:adjustRightInd w:val="0"/>
        <w:snapToGrid w:val="0"/>
        <w:spacing w:line="360" w:lineRule="exac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*杠杆水平=总资产/理财产品净资产，理财产品净资产=总资产-总负债</w:t>
      </w:r>
    </w:p>
    <w:p w:rsidR="00751A16" w:rsidRPr="00D04B68" w14:paraId="10323C86" w14:textId="77777777">
      <w:pPr>
        <w:adjustRightInd w:val="0"/>
        <w:snapToGrid w:val="0"/>
        <w:spacing w:line="360" w:lineRule="exact"/>
        <w:rPr>
          <w:rFonts w:asciiTheme="minorEastAsia" w:eastAsiaTheme="minorEastAsia" w:hAnsiTheme="minorEastAsia" w:cs="仿宋" w:hint="eastAsia"/>
          <w:color w:val="000000"/>
          <w:sz w:val="24"/>
        </w:rPr>
      </w:pPr>
    </w:p>
    <w:p w:rsidR="00751A16" w:rsidRPr="00D04B68" w14:paraId="7248A443"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4" w:name="_Toc1158767045"/>
      <w:r w:rsidRPr="00D04B68">
        <w:rPr>
          <w:rFonts w:asciiTheme="minorEastAsia" w:eastAsiaTheme="minorEastAsia" w:hAnsiTheme="minorEastAsia" w:cs="仿宋" w:hint="eastAsia"/>
          <w:sz w:val="24"/>
        </w:rPr>
        <w:t>§3  主要财务指标和产品净值表现</w:t>
      </w:r>
      <w:bookmarkEnd w:id="4"/>
    </w:p>
    <w:p w:rsidR="00751A16" w:rsidRPr="00D04B68" w14:paraId="67D29865" w14:textId="77777777">
      <w:pPr>
        <w:adjustRightInd w:val="0"/>
        <w:snapToGrid w:val="0"/>
        <w:spacing w:line="440" w:lineRule="exact"/>
        <w:outlineLvl w:val="2"/>
        <w:rPr>
          <w:rFonts w:asciiTheme="minorEastAsia" w:eastAsiaTheme="minorEastAsia" w:hAnsiTheme="minorEastAsia" w:cs="仿宋" w:hint="eastAsia"/>
          <w:b/>
          <w:sz w:val="24"/>
        </w:rPr>
      </w:pPr>
      <w:bookmarkStart w:id="5" w:name="_Toc2016014319"/>
      <w:r w:rsidRPr="00D04B68">
        <w:rPr>
          <w:rFonts w:asciiTheme="minorEastAsia" w:eastAsiaTheme="minorEastAsia" w:hAnsiTheme="minorEastAsia" w:cs="仿宋" w:hint="eastAsia"/>
          <w:b/>
          <w:sz w:val="24"/>
        </w:rPr>
        <w:t>3.1 主要财务指标和产品净值表现</w:t>
      </w:r>
      <w:bookmarkEnd w:id="5"/>
    </w:p>
    <w:p w:rsidR="00751A16" w:rsidRPr="00D04B68" w14:paraId="152D56DA" w14:textId="77777777">
      <w:pPr>
        <w:adjustRightInd w:val="0"/>
        <w:snapToGrid w:val="0"/>
        <w:spacing w:line="440" w:lineRule="exact"/>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元</w:t>
      </w:r>
      <w:r>
        <w:rPr>
          <w:sz w:val="24"/>
        </w:rPr>
        <w:t>、份、</w:t>
      </w:r>
      <w:r>
        <w:rPr>
          <w:sz w:val="24"/>
        </w:rPr>
        <w:t>元</w:t>
      </w:r>
      <w:r>
        <w:rPr>
          <w:sz w:val="24"/>
        </w:rPr>
        <w:t>/份</w:t>
      </w:r>
    </w:p>
    <w:tbl>
      <w:tblPr>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05"/>
        <w:gridCol w:w="1418"/>
        <w:gridCol w:w="585"/>
        <w:gridCol w:w="407"/>
        <w:gridCol w:w="992"/>
        <w:gridCol w:w="3321"/>
      </w:tblGrid>
      <w:tr w14:paraId="0B2038E2" w14:textId="77777777">
        <w:tblPrEx>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07699BDA"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sz w:val="24"/>
              </w:rPr>
              <w:t>主要财务指标</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798CA593"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报告期</w:t>
            </w:r>
          </w:p>
          <w:p w:rsidR="00751A16" w:rsidRPr="00D04B68" w14:paraId="23B8FF20"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w:t>
            </w:r>
            <w:r>
              <w:rPr>
                <w:color w:val="000000"/>
                <w:sz w:val="24"/>
              </w:rPr>
              <w:t>2026年1月1日</w:t>
            </w:r>
            <w:r w:rsidRPr="00D04B68">
              <w:rPr>
                <w:rFonts w:asciiTheme="minorEastAsia" w:eastAsiaTheme="minorEastAsia" w:hAnsiTheme="minorEastAsia" w:cs="仿宋" w:hint="eastAsia"/>
                <w:color w:val="000000"/>
                <w:kern w:val="0"/>
                <w:sz w:val="24"/>
              </w:rPr>
              <w:t>-</w:t>
            </w:r>
            <w:r>
              <w:rPr>
                <w:color w:val="000000"/>
                <w:sz w:val="24"/>
              </w:rPr>
              <w:t>2026年6月30日</w:t>
            </w:r>
            <w:r w:rsidRPr="00D04B68">
              <w:rPr>
                <w:rFonts w:asciiTheme="minorEastAsia" w:eastAsiaTheme="minorEastAsia" w:hAnsiTheme="minorEastAsia" w:cs="仿宋" w:hint="eastAsia"/>
                <w:color w:val="000000"/>
                <w:kern w:val="0"/>
                <w:sz w:val="24"/>
              </w:rPr>
              <w:t>）</w:t>
            </w:r>
          </w:p>
        </w:tc>
      </w:tr>
      <w:tr w14:paraId="667F73D2"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6E32E9CD" w14:textId="77777777">
            <w:pPr>
              <w:widowControl/>
              <w:adjustRightInd w:val="0"/>
              <w:snapToGrid w:val="0"/>
              <w:rPr>
                <w:rStyle w:val="a1"/>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1.期末产品资产净值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3240440D" w14:textId="77777777">
            <w:pPr>
              <w:widowControl/>
              <w:adjustRightInd w:val="0"/>
              <w:snapToGrid w:val="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273,985,149.45</w:t>
            </w:r>
          </w:p>
        </w:tc>
      </w:tr>
      <w:tr w14:paraId="791DFBF0"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428B3BF8" w14:textId="77777777">
            <w:pPr>
              <w:widowControl/>
              <w:adjustRightInd w:val="0"/>
              <w:snapToGrid w:val="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2.期末产品总份额</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72887C85" w14:textId="77777777">
            <w:pPr>
              <w:widowControl/>
              <w:adjustRightInd w:val="0"/>
              <w:snapToGrid w:val="0"/>
              <w:jc w:val="righ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260,451,664.00</w:t>
            </w:r>
          </w:p>
        </w:tc>
      </w:tr>
      <w:tr w14:paraId="7253AFB3"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0E572FAF" w14:textId="77777777">
            <w:pPr>
              <w:widowControl/>
              <w:adjustRightInd w:val="0"/>
              <w:snapToGrid w:val="0"/>
              <w:rPr>
                <w:rStyle w:val="a1"/>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3.期末产品份额单位净值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41CD0C0A" w14:textId="77777777">
            <w:pPr>
              <w:widowControl/>
              <w:adjustRightInd w:val="0"/>
              <w:snapToGrid w:val="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1.0520</w:t>
            </w:r>
          </w:p>
        </w:tc>
      </w:tr>
      <w:tr w14:paraId="38600F39"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0F885E97" w14:textId="77777777">
            <w:pPr>
              <w:widowControl/>
              <w:adjustRightInd w:val="0"/>
              <w:snapToGrid w:val="0"/>
              <w:rPr>
                <w:rStyle w:val="a1"/>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4.期末产品份额累计净值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7DA1845E" w14:textId="77777777">
            <w:pPr>
              <w:widowControl/>
              <w:adjustRightInd w:val="0"/>
              <w:snapToGrid w:val="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1.0520</w:t>
            </w:r>
          </w:p>
        </w:tc>
      </w:tr>
      <w:tr w14:paraId="7BE8026D" w14:textId="77777777">
        <w:tblPrEx>
          <w:tblW w:w="9128" w:type="dxa"/>
          <w:tblLayout w:type="fixed"/>
          <w:tblLook w:val="04A0"/>
        </w:tblPrEx>
        <w:trPr>
          <w:trHeight w:val="23"/>
        </w:trPr>
        <w:tc>
          <w:tcPr>
            <w:tcW w:w="9128" w:type="dxa"/>
            <w:gridSpan w:val="6"/>
            <w:tcBorders>
              <w:top w:val="single" w:sz="4" w:space="0" w:color="auto"/>
              <w:left w:val="single" w:sz="4" w:space="0" w:color="auto"/>
              <w:bottom w:val="single" w:sz="4" w:space="0" w:color="auto"/>
              <w:right w:val="single" w:sz="4" w:space="0" w:color="auto"/>
            </w:tcBorders>
            <w:vAlign w:val="center"/>
          </w:tcPr>
          <w:p w:rsidR="00751A16" w:rsidRPr="00D04B68" w14:paraId="5834C7F6" w14:textId="77777777">
            <w:pPr>
              <w:widowControl/>
              <w:adjustRightInd w:val="0"/>
              <w:snapToGrid w:val="0"/>
              <w:jc w:val="center"/>
              <w:rPr>
                <w:rFonts w:asciiTheme="minorEastAsia" w:eastAsiaTheme="minorEastAsia" w:hAnsiTheme="minorEastAsia" w:cs="仿宋" w:hint="eastAsia"/>
                <w:color w:val="0000FF"/>
                <w:sz w:val="24"/>
              </w:rPr>
            </w:pPr>
            <w:r w:rsidRPr="00D04B68">
              <w:rPr>
                <w:rFonts w:asciiTheme="minorEastAsia" w:eastAsiaTheme="minorEastAsia" w:hAnsiTheme="minorEastAsia" w:cs="仿宋" w:hint="eastAsia"/>
                <w:kern w:val="0"/>
                <w:sz w:val="24"/>
              </w:rPr>
              <w:t>报告期末下属子产品相关信息披露</w:t>
            </w:r>
          </w:p>
        </w:tc>
      </w:tr>
      <w:tr w14:paraId="5DC1C02B"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paraId="0EB21C8B"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子产品名称</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paraId="61FDA73B"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子产品代码</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paraId="5B057F1D"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份额</w:t>
            </w:r>
          </w:p>
          <w:p w:rsidR="00751A16" w:rsidRPr="00D04B68" w14:paraId="7CEA5EF6"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净值</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paraId="464A04FE"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份额累计净值</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paraId="20AE6768"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资产净值</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paraId="6CF62515"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丰裕固收24242期A款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paraId="39F9934F"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FYG24242A</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paraId="36952121"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1.0502</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paraId="1224CA41"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1.0502</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paraId="286FDC3B"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8,636,164.62</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丰裕固收24242期B款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FYG24242B</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1.0536</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1.0536</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20,410,270.94</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丰裕固收24242期C款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FYG24242C</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1.0519</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1.0519</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8,878,816.95</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丰裕固收24242期D款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FYG24242D</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1.0528</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1.0528</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2,124,819.75</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丰裕固收24242期E款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FYG24242E</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1.0519</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1.0519</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233,935,077.19</w:t>
            </w:r>
          </w:p>
        </w:tc>
      </w:tr>
    </w:tbl>
    <w:p w:rsidR="00751A16" w:rsidRPr="00D04B68" w14:paraId="2330BB98" w14:textId="77777777">
      <w:pPr>
        <w:adjustRightInd w:val="0"/>
        <w:snapToGrid w:val="0"/>
        <w:spacing w:line="440" w:lineRule="exact"/>
        <w:outlineLvl w:val="2"/>
        <w:rPr>
          <w:rFonts w:asciiTheme="minorEastAsia" w:eastAsiaTheme="minorEastAsia" w:hAnsiTheme="minorEastAsia" w:cs="仿宋" w:hint="eastAsia"/>
          <w:b/>
          <w:sz w:val="24"/>
        </w:rPr>
      </w:pPr>
      <w:bookmarkStart w:id="6" w:name="_Toc155677067"/>
      <w:r w:rsidRPr="00D04B68">
        <w:rPr>
          <w:rFonts w:asciiTheme="minorEastAsia" w:eastAsiaTheme="minorEastAsia" w:hAnsiTheme="minorEastAsia" w:cs="仿宋" w:hint="eastAsia"/>
          <w:b/>
          <w:sz w:val="24"/>
        </w:rPr>
        <w:t>3.</w:t>
      </w:r>
      <w:r w:rsidRPr="00D04B68">
        <w:rPr>
          <w:rFonts w:asciiTheme="minorEastAsia" w:eastAsiaTheme="minorEastAsia" w:hAnsiTheme="minorEastAsia" w:cs="仿宋"/>
          <w:b/>
          <w:sz w:val="24"/>
        </w:rPr>
        <w:t>2</w:t>
      </w:r>
      <w:r w:rsidRPr="00D04B68">
        <w:rPr>
          <w:rFonts w:asciiTheme="minorEastAsia" w:eastAsiaTheme="minorEastAsia" w:hAnsiTheme="minorEastAsia" w:cs="仿宋" w:hint="eastAsia"/>
          <w:b/>
          <w:sz w:val="24"/>
        </w:rPr>
        <w:t xml:space="preserve"> 产品收益表现</w:t>
      </w:r>
      <w:bookmarkEnd w:id="6"/>
    </w:p>
    <w:tbl>
      <w:tblPr>
        <w:tblW w:w="91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216"/>
        <w:gridCol w:w="1390"/>
        <w:gridCol w:w="1338"/>
        <w:gridCol w:w="1362"/>
        <w:gridCol w:w="1246"/>
        <w:gridCol w:w="1569"/>
      </w:tblGrid>
      <w:tr w14:paraId="6B0A80E7" w14:textId="77777777">
        <w:tblPrEx>
          <w:tblW w:w="91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paraId="1F998BCA"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产品名称</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paraId="6094887E"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w:t>
            </w:r>
            <w:r w:rsidRPr="00D04B68">
              <w:rPr>
                <w:rFonts w:asciiTheme="minorEastAsia" w:eastAsiaTheme="minorEastAsia" w:hAnsiTheme="minorEastAsia" w:cs="仿宋" w:hint="eastAsia"/>
                <w:color w:val="000000"/>
                <w:kern w:val="0"/>
                <w:sz w:val="24"/>
              </w:rPr>
              <w:t>一个月年化收益率</w:t>
            </w:r>
            <w:r w:rsidRPr="00D04B68">
              <w:rPr>
                <w:rFonts w:asciiTheme="minorEastAsia" w:eastAsiaTheme="minorEastAsia" w:hAnsiTheme="minorEastAsia" w:cs="仿宋" w:hint="eastAsia"/>
                <w:kern w:val="0"/>
                <w:sz w:val="24"/>
              </w:rPr>
              <w:t>（%）</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paraId="3D4527E2"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w:t>
            </w:r>
            <w:r w:rsidRPr="00D04B68">
              <w:rPr>
                <w:rFonts w:asciiTheme="minorEastAsia" w:eastAsiaTheme="minorEastAsia" w:hAnsiTheme="minorEastAsia" w:cs="仿宋" w:hint="eastAsia"/>
                <w:color w:val="000000"/>
                <w:kern w:val="0"/>
                <w:sz w:val="24"/>
              </w:rPr>
              <w:t>三个月年化收益率</w:t>
            </w:r>
            <w:r w:rsidRPr="00D04B68">
              <w:rPr>
                <w:rFonts w:asciiTheme="minorEastAsia" w:eastAsiaTheme="minorEastAsia" w:hAnsiTheme="minorEastAsia" w:cs="仿宋" w:hint="eastAsia"/>
                <w:kern w:val="0"/>
                <w:sz w:val="24"/>
              </w:rPr>
              <w:t>（%）</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paraId="2117E856"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w:t>
            </w:r>
            <w:r w:rsidRPr="00D04B68">
              <w:rPr>
                <w:rFonts w:asciiTheme="minorEastAsia" w:eastAsiaTheme="minorEastAsia" w:hAnsiTheme="minorEastAsia" w:cs="仿宋" w:hint="eastAsia"/>
                <w:color w:val="000000"/>
                <w:kern w:val="0"/>
                <w:sz w:val="24"/>
              </w:rPr>
              <w:t>六个月年化收益率</w:t>
            </w:r>
            <w:r w:rsidRPr="00D04B68">
              <w:rPr>
                <w:rFonts w:asciiTheme="minorEastAsia" w:eastAsiaTheme="minorEastAsia" w:hAnsiTheme="minorEastAsia" w:cs="仿宋" w:hint="eastAsia"/>
                <w:kern w:val="0"/>
                <w:sz w:val="24"/>
              </w:rPr>
              <w:t>（%）</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paraId="2D38FFEA"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近一年年化收益率</w:t>
            </w:r>
            <w:r w:rsidRPr="00D04B68">
              <w:rPr>
                <w:rFonts w:asciiTheme="minorEastAsia" w:eastAsiaTheme="minorEastAsia" w:hAnsiTheme="minorEastAsia" w:cs="仿宋" w:hint="eastAsia"/>
                <w:kern w:val="0"/>
                <w:sz w:val="24"/>
              </w:rPr>
              <w:t>（%）</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7EBE7139"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color w:val="000000"/>
                <w:kern w:val="0"/>
                <w:sz w:val="24"/>
              </w:rPr>
              <w:t>成立</w:t>
            </w:r>
            <w:r w:rsidRPr="00D04B68">
              <w:rPr>
                <w:rFonts w:asciiTheme="minorEastAsia" w:eastAsiaTheme="minorEastAsia" w:hAnsiTheme="minorEastAsia" w:cs="仿宋" w:hint="eastAsia"/>
                <w:color w:val="000000"/>
                <w:kern w:val="0"/>
                <w:sz w:val="24"/>
              </w:rPr>
              <w:t>以来年化收益率</w:t>
            </w:r>
            <w:r w:rsidRPr="00D04B68">
              <w:rPr>
                <w:rFonts w:asciiTheme="minorEastAsia" w:eastAsiaTheme="minorEastAsia" w:hAnsiTheme="minorEastAsia" w:cs="仿宋" w:hint="eastAsia"/>
                <w:kern w:val="0"/>
                <w:sz w:val="24"/>
              </w:rPr>
              <w:t>（%）</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paraId="0D001F06"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丰裕固收24242期A款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paraId="58B2DB75"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2.79</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paraId="6099ECC5"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2.96</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paraId="0C1D368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2.96</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paraId="57C1C7A3"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2.90</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401495F3"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2.98</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丰裕固收24242期B款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2.89</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3.10</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3.15</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3.09</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3.19</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丰裕固收24242期C款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2.78</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3.03</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3.05</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2.99</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3.09</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丰裕固收24242期D款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2.90</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3.11</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3.11</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3.04</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3.14</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丰裕固收24242期E款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2.78</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3.03</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3.05</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2.99</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3.09</w:t>
            </w:r>
          </w:p>
        </w:tc>
      </w:tr>
    </w:tbl>
    <w:p w:rsidR="00800B2E" w:rsidRPr="00D04B68" w:rsidP="00800B2E" w14:paraId="7A8F122D" w14:textId="77777777">
      <w:pPr>
        <w:adjustRightInd w:val="0"/>
        <w:snapToGrid w:val="0"/>
        <w:spacing w:line="360" w:lineRule="exac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w:t>
      </w:r>
      <w:r w:rsidRPr="00D04B68">
        <w:rPr>
          <w:rFonts w:asciiTheme="minorEastAsia" w:eastAsiaTheme="minorEastAsia" w:hAnsiTheme="minorEastAsia" w:cs="仿宋" w:hint="eastAsia"/>
          <w:sz w:val="24"/>
        </w:rPr>
        <w:t>折合年化收益率</w:t>
      </w:r>
      <w:r w:rsidRPr="00D04B68">
        <w:rPr>
          <w:rFonts w:asciiTheme="minorEastAsia" w:eastAsiaTheme="minorEastAsia" w:hAnsiTheme="minorEastAsia" w:cs="仿宋" w:hint="eastAsia"/>
          <w:sz w:val="24"/>
        </w:rPr>
        <w:t>计算公式为：（当前累计净值-N天前累计净值）/N天前单位净值/N*365*100%，N的取值为：近一个月：30天；近三个月：90天；近六个月：180天；近一年：365天；成立以来：当前日期-成立日；</w:t>
      </w:r>
      <w:r w:rsidRPr="00D04B68">
        <w:rPr>
          <w:rFonts w:asciiTheme="minorEastAsia" w:eastAsiaTheme="minorEastAsia" w:hAnsiTheme="minorEastAsia" w:cs="仿宋" w:hint="eastAsia"/>
          <w:sz w:val="24"/>
        </w:rPr>
        <w:br/>
        <w:t>*产品过往业绩相关数据已经产品托管人复核；</w:t>
      </w:r>
    </w:p>
    <w:p w:rsidR="00800B2E" w:rsidRPr="00D04B68" w:rsidP="00800B2E" w14:paraId="5DB9507E" w14:textId="77777777">
      <w:pPr>
        <w:adjustRightInd w:val="0"/>
        <w:snapToGrid w:val="0"/>
        <w:spacing w:line="360" w:lineRule="exac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w:t>
      </w:r>
      <w:r w:rsidRPr="00D04B68">
        <w:rPr>
          <w:rFonts w:asciiTheme="minorEastAsia" w:eastAsiaTheme="minorEastAsia" w:hAnsiTheme="minorEastAsia" w:hint="eastAsia"/>
          <w:sz w:val="24"/>
        </w:rPr>
        <w:t>理财产品</w:t>
      </w:r>
      <w:r w:rsidRPr="00D04B68" w:rsidR="007D2EBE">
        <w:rPr>
          <w:rFonts w:asciiTheme="minorEastAsia" w:eastAsiaTheme="minorEastAsia" w:hAnsiTheme="minorEastAsia" w:hint="eastAsia"/>
          <w:sz w:val="24"/>
        </w:rPr>
        <w:t>过往业绩不代表其未来的表现及收益，理财非存款，市场有风险，投资须</w:t>
      </w:r>
      <w:r w:rsidRPr="00D04B68">
        <w:rPr>
          <w:rFonts w:asciiTheme="minorEastAsia" w:eastAsiaTheme="minorEastAsia" w:hAnsiTheme="minorEastAsia" w:hint="eastAsia"/>
          <w:sz w:val="24"/>
        </w:rPr>
        <w:t>谨慎。</w:t>
      </w:r>
    </w:p>
    <w:p w:rsidR="00751A16" w:rsidRPr="00D04B68" w14:paraId="2951CD43" w14:textId="77777777">
      <w:pPr>
        <w:adjustRightInd w:val="0"/>
        <w:snapToGrid w:val="0"/>
        <w:rPr>
          <w:rFonts w:asciiTheme="minorEastAsia" w:eastAsiaTheme="minorEastAsia" w:hAnsiTheme="minorEastAsia" w:cs="仿宋" w:hint="eastAsia"/>
          <w:color w:val="404040"/>
          <w:kern w:val="0"/>
          <w:sz w:val="24"/>
        </w:rPr>
      </w:pPr>
    </w:p>
    <w:p w:rsidR="00751A16" w:rsidRPr="00D04B68" w14:paraId="423C54DD"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7" w:name="_Toc829383023"/>
      <w:r w:rsidRPr="00D04B68">
        <w:rPr>
          <w:rFonts w:asciiTheme="minorEastAsia" w:eastAsiaTheme="minorEastAsia" w:hAnsiTheme="minorEastAsia" w:cs="仿宋" w:hint="eastAsia"/>
          <w:sz w:val="24"/>
        </w:rPr>
        <w:t>§4  投资组合报告</w:t>
      </w:r>
      <w:bookmarkEnd w:id="7"/>
    </w:p>
    <w:p w:rsidR="00751A16" w:rsidRPr="00D04B68" w14:paraId="1F906DBE" w14:textId="77777777">
      <w:pPr>
        <w:adjustRightInd w:val="0"/>
        <w:snapToGrid w:val="0"/>
        <w:spacing w:line="440" w:lineRule="exact"/>
        <w:outlineLvl w:val="2"/>
        <w:rPr>
          <w:rFonts w:asciiTheme="minorEastAsia" w:eastAsiaTheme="minorEastAsia" w:hAnsiTheme="minorEastAsia" w:cs="仿宋" w:hint="eastAsia"/>
          <w:b/>
          <w:sz w:val="24"/>
        </w:rPr>
      </w:pPr>
      <w:bookmarkStart w:id="8" w:name="_Toc124114884"/>
      <w:r w:rsidRPr="00D04B68">
        <w:rPr>
          <w:rFonts w:asciiTheme="minorEastAsia" w:eastAsiaTheme="minorEastAsia" w:hAnsiTheme="minorEastAsia" w:cs="仿宋" w:hint="eastAsia"/>
          <w:b/>
          <w:sz w:val="24"/>
        </w:rPr>
        <w:t>4.1 报告期内产品投资策略回顾</w:t>
      </w:r>
      <w:bookmarkEnd w:id="8"/>
    </w:p>
    <w:p w:rsidR="00751A16" w:rsidRPr="00D04B68" w14:paraId="02CEC222"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上半年以来，债券市场长短端收益率整体震荡下行，短端收益率下行幅度超过长端。货币政策延续了“适度宽松”的总基调，但实际操作中呈现出前松后紧的特征。上半年央行未实施全面降准或降息，7D逆回购利率始终维持在1.40%不变。在4月至5月，市场进入流动性超宽松阶段，主要市场利率持续走低。4月DR001均值为1.23%，较上月下行8个基点；1年期商业银行（AAA级）同业存单到期收益率均值降至1.47%，较上月下行7个基点，创历史新低。一季度报告中，央行已悄然删去“降准降息”表述，表明降准降息时点可能延后。财政方面，专项债发行呈“先慢后快”态势， 6月中旬以来专项债发行明显提速，三季度有望迎来发行高峰。</w:t>
        <w:cr/>
        <w:t xml:space="preserve">    从收益率来看，截至6月30日，10年国债收益率1.7330%，较去年12月末下行11.43BP；1年期国股商业银行同业存单收益率1.4625%，较去年12月末下行16.25bp；3年期AA+城投债收益率1.6866%，较去年12月末下行25.18bp，3年期AAA商业银行二级资本债收益率1.7002%，较去年12月末下行28.36bp。本产品主要配置固收类资产，债券部分以信用债为主，久期适中偏短，上半年以来受信用利差小幅压缩及收益率小幅下行影响，产品净值整体保持了较好的表现。</w:t>
      </w:r>
    </w:p>
    <w:p w:rsidR="00751A16" w:rsidRPr="00D04B68" w14:paraId="50FA36FE" w14:textId="77777777">
      <w:pPr>
        <w:adjustRightInd w:val="0"/>
        <w:snapToGrid w:val="0"/>
        <w:spacing w:line="440" w:lineRule="exact"/>
        <w:outlineLvl w:val="2"/>
        <w:rPr>
          <w:rFonts w:asciiTheme="minorEastAsia" w:eastAsiaTheme="minorEastAsia" w:hAnsiTheme="minorEastAsia" w:cs="仿宋" w:hint="eastAsia"/>
          <w:b/>
          <w:sz w:val="24"/>
        </w:rPr>
      </w:pPr>
      <w:bookmarkStart w:id="9" w:name="_Toc792234151"/>
      <w:r w:rsidRPr="00D04B68">
        <w:rPr>
          <w:rFonts w:asciiTheme="minorEastAsia" w:eastAsiaTheme="minorEastAsia" w:hAnsiTheme="minorEastAsia" w:cs="仿宋" w:hint="eastAsia"/>
          <w:b/>
          <w:sz w:val="24"/>
        </w:rPr>
        <w:t>4.2产品未来展望</w:t>
      </w:r>
      <w:bookmarkEnd w:id="9"/>
    </w:p>
    <w:p w:rsidR="00751A16" w:rsidRPr="00D04B68" w14:paraId="2A1C814C"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展望2026年三季度，从7月初央行投放看，中期流动性净投放正在边际恢复。三季度货币政策将延续“适度宽松”的总基调，但边际上较二季度或出现转向——从“边际收敛”切换为“边际宽松”。</w:t>
        <w:cr/>
        <w:t xml:space="preserve">    下半年多空因素交织、宏观能见度偏低。伴随中东局势降温，美伊签署谅解备忘录，国际油价快速回落，此前高油价带动国内PPI持续上行的势头基本见顶，下半年通胀带来的政策约束明显减弱。这为货币政策宽松创造了有利条件。但同时，从供给上看，三季度或压力最大， 三季度利率债供给高峰叠加滞后发行补发，净发行量将大幅高于去年同期，30年期超长国债将面临交易盘加仓不足与配置盘承接有限的供需压力。</w:t>
        <w:cr/>
        <w:t xml:space="preserve">    三季度债市大概率处于多空拉锯的震荡格局，利率债在供给冲击与配置需求之间寻求平衡，信用债则以票息收入为主、波段操作为辅。</w:t>
      </w:r>
    </w:p>
    <w:p w:rsidR="00751A16" w:rsidRPr="00D04B68" w14:paraId="229914FB" w14:textId="77777777">
      <w:pPr>
        <w:adjustRightInd w:val="0"/>
        <w:snapToGrid w:val="0"/>
        <w:spacing w:line="440" w:lineRule="exact"/>
        <w:outlineLvl w:val="2"/>
        <w:rPr>
          <w:rFonts w:asciiTheme="minorEastAsia" w:eastAsiaTheme="minorEastAsia" w:hAnsiTheme="minorEastAsia" w:cs="仿宋" w:hint="eastAsia"/>
          <w:b/>
          <w:sz w:val="24"/>
        </w:rPr>
      </w:pPr>
      <w:bookmarkStart w:id="10" w:name="_Toc680764457"/>
      <w:r w:rsidRPr="00D04B68">
        <w:rPr>
          <w:rFonts w:asciiTheme="minorEastAsia" w:eastAsiaTheme="minorEastAsia" w:hAnsiTheme="minorEastAsia" w:cs="仿宋" w:hint="eastAsia"/>
          <w:b/>
          <w:sz w:val="24"/>
        </w:rPr>
        <w:t>4.3投资组合的流动性风险分析</w:t>
      </w:r>
      <w:bookmarkEnd w:id="10"/>
    </w:p>
    <w:p w:rsidR="00751A16" w:rsidRPr="00D04B68" w14:paraId="65C6A8E3"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流动性风险是指理财产品无法通过变现资产等途径以合理成本及时获得充足资金，用于满足该理财产品的投资者赎回需求、履行其他支付义务的风险。</w:t>
        <w:cr/>
        <w:t xml:space="preserve">    本产品通过合理安排投资品种和期限结构等方式管理产品的流动性风险，主要直接或者间接投资于债券类资产或非标准化债权类资产。产品所投资的债券资产流动性状况良好，所投资非标准化债权资产终止日不晚于本产品的到期日，在到期前可完成投资组合相关资产变现，产品整体流动性风险可控。报告期内，本产品未发生重大流动性风险事件。</w:t>
      </w:r>
    </w:p>
    <w:p w:rsidR="00751A16" w:rsidRPr="00D04B68" w14:paraId="114A0627" w14:textId="77777777">
      <w:pPr>
        <w:adjustRightInd w:val="0"/>
        <w:snapToGrid w:val="0"/>
        <w:spacing w:line="440" w:lineRule="exact"/>
        <w:outlineLvl w:val="2"/>
        <w:rPr>
          <w:rFonts w:asciiTheme="minorEastAsia" w:eastAsiaTheme="minorEastAsia" w:hAnsiTheme="minorEastAsia" w:cs="仿宋" w:hint="eastAsia"/>
          <w:b/>
          <w:sz w:val="24"/>
        </w:rPr>
      </w:pPr>
      <w:bookmarkStart w:id="11" w:name="_Toc1962841230"/>
      <w:r w:rsidRPr="00D04B68">
        <w:rPr>
          <w:rFonts w:asciiTheme="minorEastAsia" w:eastAsiaTheme="minorEastAsia" w:hAnsiTheme="minorEastAsia" w:cs="仿宋" w:hint="eastAsia"/>
          <w:b/>
          <w:sz w:val="24"/>
        </w:rPr>
        <w:t>4.4 报告期末投资组合分类</w:t>
      </w:r>
      <w:bookmarkEnd w:id="11"/>
    </w:p>
    <w:tbl>
      <w:tblPr>
        <w:tblW w:w="9024" w:type="dxa"/>
        <w:tblInd w:w="-5" w:type="dxa"/>
        <w:tblLayout w:type="fixed"/>
        <w:tblCellMar>
          <w:left w:w="0" w:type="dxa"/>
          <w:right w:w="0" w:type="dxa"/>
        </w:tblCellMar>
        <w:tblLook w:val="04A0"/>
      </w:tblPr>
      <w:tblGrid>
        <w:gridCol w:w="406"/>
        <w:gridCol w:w="4082"/>
        <w:gridCol w:w="2268"/>
        <w:gridCol w:w="2268"/>
      </w:tblGrid>
      <w:tr w14:paraId="2CB08674" w14:textId="77777777" w:rsidTr="00672142">
        <w:tblPrEx>
          <w:tblW w:w="9024" w:type="dxa"/>
          <w:tblInd w:w="-5" w:type="dxa"/>
          <w:tblLayout w:type="fixed"/>
          <w:tblCellMar>
            <w:left w:w="0" w:type="dxa"/>
            <w:right w:w="0" w:type="dxa"/>
          </w:tblCellMar>
          <w:tblLook w:val="04A0"/>
        </w:tblPrEx>
        <w:trPr>
          <w:trHeight w:val="415"/>
        </w:trPr>
        <w:tc>
          <w:tcPr>
            <w:tcW w:w="406" w:type="dxa"/>
            <w:tcBorders>
              <w:top w:val="single" w:sz="4" w:space="0" w:color="auto"/>
              <w:left w:val="single" w:sz="4" w:space="0" w:color="auto"/>
              <w:bottom w:val="single" w:sz="4" w:space="0" w:color="auto"/>
              <w:right w:val="single" w:sz="4" w:space="0" w:color="auto"/>
            </w:tcBorders>
          </w:tcPr>
          <w:p w:rsidR="00751A16" w:rsidRPr="00D04B68" w14:paraId="5FDAB90B"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序号</w:t>
            </w:r>
          </w:p>
        </w:tc>
        <w:tc>
          <w:tcPr>
            <w:tcW w:w="4082" w:type="dxa"/>
            <w:tcBorders>
              <w:top w:val="single" w:sz="4" w:space="0" w:color="auto"/>
              <w:left w:val="nil"/>
              <w:bottom w:val="single" w:sz="4" w:space="0" w:color="auto"/>
              <w:right w:val="single" w:sz="4" w:space="0" w:color="auto"/>
            </w:tcBorders>
            <w:vAlign w:val="center"/>
          </w:tcPr>
          <w:p w:rsidR="00751A16" w:rsidRPr="00D04B68" w:rsidP="00672142" w14:paraId="64F9C1A5"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项目</w:t>
            </w:r>
          </w:p>
        </w:tc>
        <w:tc>
          <w:tcPr>
            <w:tcW w:w="2268" w:type="dxa"/>
            <w:tcBorders>
              <w:top w:val="single" w:sz="4" w:space="0" w:color="auto"/>
              <w:left w:val="nil"/>
              <w:bottom w:val="single" w:sz="4" w:space="0" w:color="auto"/>
              <w:right w:val="single" w:sz="4" w:space="0" w:color="auto"/>
            </w:tcBorders>
          </w:tcPr>
          <w:p w:rsidR="00751A16" w:rsidRPr="00D04B68" w14:paraId="5C86D14C"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期末</w:t>
            </w:r>
            <w:r w:rsidRPr="00D04B68">
              <w:rPr>
                <w:rFonts w:asciiTheme="minorEastAsia" w:eastAsiaTheme="minorEastAsia" w:hAnsiTheme="minorEastAsia" w:cs="仿宋" w:hint="eastAsia"/>
                <w:sz w:val="24"/>
              </w:rPr>
              <w:t>穿透前占总</w:t>
            </w:r>
            <w:r w:rsidRPr="00D04B68">
              <w:rPr>
                <w:rFonts w:asciiTheme="minorEastAsia" w:eastAsiaTheme="minorEastAsia" w:hAnsiTheme="minorEastAsia" w:cs="仿宋" w:hint="eastAsia"/>
                <w:sz w:val="24"/>
              </w:rPr>
              <w:t>资产比例（％）</w:t>
            </w:r>
          </w:p>
        </w:tc>
        <w:tc>
          <w:tcPr>
            <w:tcW w:w="2268" w:type="dxa"/>
            <w:tcBorders>
              <w:top w:val="single" w:sz="4" w:space="0" w:color="auto"/>
              <w:left w:val="nil"/>
              <w:bottom w:val="single" w:sz="4" w:space="0" w:color="auto"/>
              <w:right w:val="single" w:sz="4" w:space="0" w:color="auto"/>
            </w:tcBorders>
          </w:tcPr>
          <w:p w:rsidR="00751A16" w:rsidRPr="00D04B68" w14:paraId="3B184234"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期末穿透后占总资产比例（％）</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paraId="0B22E78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4082" w:type="dxa"/>
            <w:tcBorders>
              <w:top w:val="single" w:sz="4" w:space="0" w:color="auto"/>
              <w:left w:val="nil"/>
              <w:bottom w:val="single" w:sz="4" w:space="0" w:color="auto"/>
              <w:right w:val="single" w:sz="4" w:space="0" w:color="auto"/>
            </w:tcBorders>
            <w:vAlign w:val="center"/>
          </w:tcPr>
          <w:p w:rsidR="00751A16" w:rsidRPr="00D04B68" w14:paraId="5518381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现金及银行存款</w:t>
            </w:r>
          </w:p>
        </w:tc>
        <w:tc>
          <w:tcPr>
            <w:tcW w:w="2268" w:type="dxa"/>
            <w:tcBorders>
              <w:top w:val="single" w:sz="4" w:space="0" w:color="auto"/>
              <w:left w:val="nil"/>
              <w:bottom w:val="single" w:sz="4" w:space="0" w:color="auto"/>
              <w:right w:val="single" w:sz="4" w:space="0" w:color="auto"/>
            </w:tcBorders>
            <w:vAlign w:val="center"/>
          </w:tcPr>
          <w:p w:rsidR="00751A16" w:rsidRPr="00D04B68" w14:paraId="1D2DEB8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0.14</w:t>
            </w:r>
          </w:p>
        </w:tc>
        <w:tc>
          <w:tcPr>
            <w:tcW w:w="2268" w:type="dxa"/>
            <w:tcBorders>
              <w:top w:val="single" w:sz="4" w:space="0" w:color="auto"/>
              <w:left w:val="nil"/>
              <w:bottom w:val="single" w:sz="4" w:space="0" w:color="auto"/>
              <w:right w:val="single" w:sz="4" w:space="0" w:color="auto"/>
            </w:tcBorders>
            <w:vAlign w:val="center"/>
          </w:tcPr>
          <w:p w:rsidR="00751A16" w:rsidRPr="00D04B68" w14:paraId="05B28ED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0.79</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同业存单</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0.11</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拆放同业及债券买入返售</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债券</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31.35</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53.68</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非标准化债权类资产</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42.48</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权益类投资</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2.95</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金融衍生品</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代客境外理财投资QDII</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商品类资产</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另类资产</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11</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公募基金</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12</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私募基金</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13</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资产管理产品</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68.51</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14</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委外投资——协议方式</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15</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合计</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100.00</w:t>
            </w:r>
          </w:p>
        </w:tc>
      </w:tr>
    </w:tbl>
    <w:p w:rsidR="00751A16" w:rsidRPr="00D04B68" w14:paraId="3EEE4677" w14:textId="77777777">
      <w:pPr>
        <w:adjustRightInd w:val="0"/>
        <w:snapToGrid w:val="0"/>
        <w:spacing w:line="440" w:lineRule="exact"/>
        <w:outlineLvl w:val="2"/>
        <w:rPr>
          <w:rFonts w:asciiTheme="minorEastAsia" w:eastAsiaTheme="minorEastAsia" w:hAnsiTheme="minorEastAsia" w:cs="仿宋" w:hint="eastAsia"/>
          <w:b/>
          <w:sz w:val="24"/>
        </w:rPr>
      </w:pPr>
      <w:bookmarkStart w:id="12" w:name="_Toc1258005047"/>
      <w:r w:rsidRPr="00D04B68">
        <w:rPr>
          <w:rFonts w:asciiTheme="minorEastAsia" w:eastAsiaTheme="minorEastAsia" w:hAnsiTheme="minorEastAsia" w:cs="仿宋" w:hint="eastAsia"/>
          <w:b/>
          <w:sz w:val="24"/>
        </w:rPr>
        <w:t>4.</w:t>
      </w:r>
      <w:r w:rsidRPr="00D04B68">
        <w:rPr>
          <w:rFonts w:asciiTheme="minorEastAsia" w:eastAsiaTheme="minorEastAsia" w:hAnsiTheme="minorEastAsia" w:cs="仿宋"/>
          <w:b/>
          <w:sz w:val="24"/>
        </w:rPr>
        <w:t>5</w:t>
      </w:r>
      <w:r w:rsidRPr="00D04B68">
        <w:rPr>
          <w:rFonts w:asciiTheme="minorEastAsia" w:eastAsiaTheme="minorEastAsia" w:hAnsiTheme="minorEastAsia" w:cs="仿宋" w:hint="eastAsia"/>
          <w:b/>
          <w:sz w:val="24"/>
        </w:rPr>
        <w:t>报告期末投资前十名资产明细</w:t>
      </w:r>
      <w:bookmarkEnd w:id="12"/>
    </w:p>
    <w:p w:rsidR="00751A16" w:rsidRPr="00D04B68" w14:paraId="56120CA9" w14:textId="77777777">
      <w:pPr>
        <w:adjustRightInd w:val="0"/>
        <w:snapToGrid w:val="0"/>
        <w:spacing w:line="440" w:lineRule="exact"/>
        <w:ind w:firstLine="6240" w:firstLineChars="260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人民币元</w:t>
      </w:r>
    </w:p>
    <w:tbl>
      <w:tblPr>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562"/>
        <w:gridCol w:w="3772"/>
        <w:gridCol w:w="2340"/>
        <w:gridCol w:w="2356"/>
      </w:tblGrid>
      <w:tr w14:paraId="3E3DBA07" w14:textId="77777777">
        <w:tblPrEx>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0D7C8989"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序号</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7DB513F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资产名称</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26CB408C"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金额（</w:t>
            </w:r>
            <w:r>
              <w:rPr>
                <w:sz w:val="24"/>
              </w:rPr>
              <w:t>元</w:t>
            </w:r>
            <w:r>
              <w:rPr>
                <w:sz w:val="24"/>
              </w:rPr>
              <w:t>）</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5E780AA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占资产净值比例（％）</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6116871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38487FE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重庆信托·马鞍山国控集合资金信托计划</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50607E6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74,050,709.54</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20DD8D42"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27.03</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中信信托·新悦152号·诸暨国资债权投资计划-1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52,055,448.66</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19.00</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24舟山旅游MTN001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20,571,629.04</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7.51</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24湖南能源MTN005A</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20,569,846.85</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7.51</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23晋能电力MTN017</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20,552,885.21</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7.50</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24合肥高新MTN002</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20,201,697.81</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7.37</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24德清建设MTN002</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10,060,432.60</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3.67</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25国开15</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9,598,066.78</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3.50</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25国开03</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4,840,876.66</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1.77</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26国开03</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3,235,070.58</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1.18</w:t>
            </w:r>
          </w:p>
        </w:tc>
      </w:tr>
    </w:tbl>
    <w:p w:rsidR="00751A16" w:rsidRPr="00D04B68" w14:paraId="62789964" w14:textId="77777777">
      <w:pPr>
        <w:adjustRightInd w:val="0"/>
        <w:snapToGrid w:val="0"/>
        <w:spacing w:line="440" w:lineRule="exact"/>
        <w:outlineLvl w:val="2"/>
        <w:rPr>
          <w:rFonts w:asciiTheme="minorEastAsia" w:eastAsiaTheme="minorEastAsia" w:hAnsiTheme="minorEastAsia" w:cs="仿宋" w:hint="eastAsia"/>
          <w:b/>
          <w:sz w:val="24"/>
        </w:rPr>
      </w:pPr>
      <w:bookmarkStart w:id="13" w:name="_Toc1314320214"/>
      <w:r w:rsidRPr="00D04B68">
        <w:rPr>
          <w:rFonts w:asciiTheme="minorEastAsia" w:eastAsiaTheme="minorEastAsia" w:hAnsiTheme="minorEastAsia" w:cs="仿宋" w:hint="eastAsia"/>
          <w:b/>
          <w:sz w:val="24"/>
        </w:rPr>
        <w:t>4.</w:t>
      </w:r>
      <w:r w:rsidRPr="00D04B68">
        <w:rPr>
          <w:rFonts w:asciiTheme="minorEastAsia" w:eastAsiaTheme="minorEastAsia" w:hAnsiTheme="minorEastAsia" w:cs="仿宋"/>
          <w:b/>
          <w:sz w:val="24"/>
        </w:rPr>
        <w:t>6</w:t>
      </w:r>
      <w:r w:rsidRPr="00D04B68">
        <w:rPr>
          <w:rFonts w:asciiTheme="minorEastAsia" w:eastAsiaTheme="minorEastAsia" w:hAnsiTheme="minorEastAsia" w:cs="仿宋" w:hint="eastAsia"/>
          <w:b/>
          <w:sz w:val="24"/>
        </w:rPr>
        <w:t>报告期融资情况</w:t>
      </w:r>
      <w:bookmarkEnd w:id="13"/>
    </w:p>
    <w:p w:rsidR="00751A16" w:rsidRPr="00D04B68" w14:paraId="47A1883D" w14:textId="77777777">
      <w:pPr>
        <w:adjustRightInd w:val="0"/>
        <w:snapToGrid w:val="0"/>
        <w:spacing w:line="440" w:lineRule="exact"/>
        <w:ind w:firstLine="6240" w:firstLineChars="260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人民币元</w:t>
      </w:r>
    </w:p>
    <w:tbl>
      <w:tblPr>
        <w:tblW w:w="8999" w:type="dxa"/>
        <w:tblInd w:w="-5" w:type="dxa"/>
        <w:tblLayout w:type="fixed"/>
        <w:tblCellMar>
          <w:left w:w="30" w:type="dxa"/>
          <w:right w:w="30" w:type="dxa"/>
        </w:tblCellMar>
        <w:tblLook w:val="04A0"/>
      </w:tblPr>
      <w:tblGrid>
        <w:gridCol w:w="632"/>
        <w:gridCol w:w="3167"/>
        <w:gridCol w:w="2433"/>
        <w:gridCol w:w="2767"/>
      </w:tblGrid>
      <w:tr w14:paraId="35B72783" w14:textId="77777777">
        <w:tblPrEx>
          <w:tblW w:w="8999" w:type="dxa"/>
          <w:tblInd w:w="-5" w:type="dxa"/>
          <w:tblLayout w:type="fixed"/>
          <w:tblCellMar>
            <w:left w:w="30" w:type="dxa"/>
            <w:right w:w="30" w:type="dxa"/>
          </w:tblCellMar>
          <w:tblLook w:val="04A0"/>
        </w:tblPrEx>
        <w:trPr>
          <w:trHeight w:val="375"/>
        </w:trPr>
        <w:tc>
          <w:tcPr>
            <w:tcW w:w="632" w:type="dxa"/>
            <w:tcBorders>
              <w:top w:val="single" w:sz="4" w:space="0" w:color="auto"/>
              <w:left w:val="single" w:sz="4" w:space="0" w:color="auto"/>
              <w:bottom w:val="single" w:sz="4" w:space="0" w:color="auto"/>
              <w:right w:val="single" w:sz="4" w:space="0" w:color="auto"/>
            </w:tcBorders>
          </w:tcPr>
          <w:p w:rsidR="00751A16" w:rsidRPr="00D04B68" w14:paraId="1AF4701E"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序号</w:t>
            </w:r>
          </w:p>
        </w:tc>
        <w:tc>
          <w:tcPr>
            <w:tcW w:w="3167" w:type="dxa"/>
            <w:tcBorders>
              <w:top w:val="single" w:sz="4" w:space="0" w:color="auto"/>
              <w:left w:val="single" w:sz="4" w:space="0" w:color="auto"/>
              <w:bottom w:val="single" w:sz="4" w:space="0" w:color="auto"/>
              <w:right w:val="single" w:sz="4" w:space="0" w:color="auto"/>
            </w:tcBorders>
          </w:tcPr>
          <w:p w:rsidR="00751A16" w:rsidRPr="00D04B68" w14:paraId="2E7DEE37"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项目</w:t>
            </w:r>
          </w:p>
        </w:tc>
        <w:tc>
          <w:tcPr>
            <w:tcW w:w="2433" w:type="dxa"/>
            <w:tcBorders>
              <w:top w:val="single" w:sz="4" w:space="0" w:color="auto"/>
              <w:left w:val="single" w:sz="4" w:space="0" w:color="auto"/>
              <w:bottom w:val="single" w:sz="4" w:space="0" w:color="auto"/>
              <w:right w:val="single" w:sz="4" w:space="0" w:color="auto"/>
            </w:tcBorders>
          </w:tcPr>
          <w:p w:rsidR="00751A16" w:rsidRPr="00D04B68" w14:paraId="30287A1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金额（</w:t>
            </w:r>
            <w:r>
              <w:rPr>
                <w:sz w:val="24"/>
              </w:rPr>
              <w:t>元</w:t>
            </w:r>
            <w:r>
              <w:rPr>
                <w:sz w:val="24"/>
              </w:rPr>
              <w:t>）</w:t>
            </w:r>
          </w:p>
        </w:tc>
        <w:tc>
          <w:tcPr>
            <w:tcW w:w="2767" w:type="dxa"/>
            <w:tcBorders>
              <w:top w:val="single" w:sz="4" w:space="0" w:color="auto"/>
              <w:left w:val="single" w:sz="4" w:space="0" w:color="auto"/>
              <w:bottom w:val="single" w:sz="4" w:space="0" w:color="auto"/>
              <w:right w:val="single" w:sz="4" w:space="0" w:color="auto"/>
            </w:tcBorders>
          </w:tcPr>
          <w:p w:rsidR="00751A16" w:rsidRPr="00D04B68" w14:paraId="1BE184FA"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占资产净值比例（％）</w:t>
            </w:r>
          </w:p>
        </w:tc>
      </w:tr>
      <w:tr w14:paraId="3EECF6DB" w14:textId="77777777">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751A16" w:rsidRPr="00D04B68" w14:paraId="4E73AB60"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3167" w:type="dxa"/>
            <w:tcBorders>
              <w:top w:val="single" w:sz="4" w:space="0" w:color="auto"/>
              <w:left w:val="single" w:sz="4" w:space="0" w:color="auto"/>
              <w:bottom w:val="single" w:sz="4" w:space="0" w:color="auto"/>
              <w:right w:val="single" w:sz="4" w:space="0" w:color="auto"/>
            </w:tcBorders>
            <w:vAlign w:val="center"/>
          </w:tcPr>
          <w:p w:rsidR="00751A16" w:rsidRPr="00D04B68" w14:paraId="46825319"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报告期末质押式回购余额</w:t>
            </w:r>
          </w:p>
        </w:tc>
        <w:tc>
          <w:tcPr>
            <w:tcW w:w="2433" w:type="dxa"/>
            <w:tcBorders>
              <w:top w:val="single" w:sz="4" w:space="0" w:color="auto"/>
              <w:left w:val="single" w:sz="4" w:space="0" w:color="auto"/>
              <w:bottom w:val="single" w:sz="4" w:space="0" w:color="auto"/>
              <w:right w:val="single" w:sz="4" w:space="0" w:color="auto"/>
            </w:tcBorders>
            <w:vAlign w:val="center"/>
          </w:tcPr>
          <w:p w:rsidR="00751A16" w:rsidRPr="00D04B68" w14:paraId="10BABC07"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16,001,303.67</w:t>
            </w:r>
          </w:p>
        </w:tc>
        <w:tc>
          <w:tcPr>
            <w:tcW w:w="2767" w:type="dxa"/>
            <w:tcBorders>
              <w:top w:val="single" w:sz="4" w:space="0" w:color="auto"/>
              <w:left w:val="single" w:sz="4" w:space="0" w:color="auto"/>
              <w:bottom w:val="single" w:sz="4" w:space="0" w:color="auto"/>
              <w:right w:val="single" w:sz="4" w:space="0" w:color="auto"/>
            </w:tcBorders>
            <w:vAlign w:val="center"/>
          </w:tcPr>
          <w:p w:rsidR="00751A16" w:rsidRPr="00D04B68" w14:paraId="66CC1921"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5.84</w:t>
            </w:r>
          </w:p>
        </w:tc>
      </w:tr>
      <w:tr w14:paraId="3EECF6DB" w14:textId="77777777">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31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报告期末同业拆入余额</w:t>
            </w:r>
          </w:p>
        </w:tc>
        <w:tc>
          <w:tcPr>
            <w:tcW w:w="24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r>
      <w:tr w14:paraId="3EECF6DB" w14:textId="77777777">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31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其他</w:t>
            </w:r>
          </w:p>
        </w:tc>
        <w:tc>
          <w:tcPr>
            <w:tcW w:w="24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r>
    </w:tbl>
    <w:p w:rsidR="00751A16" w:rsidRPr="00D04B68" w14:paraId="23C710AB" w14:textId="77777777">
      <w:pPr>
        <w:adjustRightInd w:val="0"/>
        <w:snapToGrid w:val="0"/>
        <w:spacing w:line="440" w:lineRule="exact"/>
        <w:outlineLvl w:val="2"/>
        <w:rPr>
          <w:rFonts w:asciiTheme="minorEastAsia" w:eastAsiaTheme="minorEastAsia" w:hAnsiTheme="minorEastAsia" w:cs="仿宋" w:hint="eastAsia"/>
          <w:b/>
          <w:sz w:val="24"/>
        </w:rPr>
      </w:pPr>
      <w:bookmarkStart w:id="14" w:name="_Toc481074947"/>
      <w:bookmarkStart w:id="15" w:name="_Toc763043656"/>
      <w:r w:rsidRPr="00D04B68">
        <w:rPr>
          <w:rFonts w:asciiTheme="minorEastAsia" w:eastAsiaTheme="minorEastAsia" w:hAnsiTheme="minorEastAsia" w:cs="仿宋" w:hint="eastAsia"/>
          <w:b/>
          <w:sz w:val="24"/>
        </w:rPr>
        <w:t>4.</w:t>
      </w:r>
      <w:r w:rsidRPr="00D04B68">
        <w:rPr>
          <w:rFonts w:asciiTheme="minorEastAsia" w:eastAsiaTheme="minorEastAsia" w:hAnsiTheme="minorEastAsia" w:cs="仿宋"/>
          <w:b/>
          <w:sz w:val="24"/>
        </w:rPr>
        <w:t>7</w:t>
      </w:r>
      <w:r w:rsidRPr="00D04B68">
        <w:rPr>
          <w:rFonts w:asciiTheme="minorEastAsia" w:eastAsiaTheme="minorEastAsia" w:hAnsiTheme="minorEastAsia" w:cs="仿宋" w:hint="eastAsia"/>
          <w:b/>
          <w:sz w:val="24"/>
        </w:rPr>
        <w:t>报告期末投资非标准化债权资产</w:t>
      </w:r>
      <w:bookmarkEnd w:id="14"/>
      <w:r w:rsidRPr="00D04B68">
        <w:rPr>
          <w:rFonts w:asciiTheme="minorEastAsia" w:eastAsiaTheme="minorEastAsia" w:hAnsiTheme="minorEastAsia" w:cs="仿宋" w:hint="eastAsia"/>
          <w:b/>
          <w:sz w:val="24"/>
        </w:rPr>
        <w:t>情况</w:t>
      </w:r>
      <w:bookmarkEnd w:id="15"/>
    </w:p>
    <w:p w:rsidR="00751A16" w:rsidRPr="00D04B68" w14:paraId="26D7332F" w14:textId="77777777">
      <w:pPr>
        <w:adjustRightInd w:val="0"/>
        <w:snapToGrid w:val="0"/>
        <w:spacing w:line="380" w:lineRule="exact"/>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人民币元</w:t>
      </w:r>
    </w:p>
    <w:tbl>
      <w:tblPr>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34"/>
        <w:gridCol w:w="1330"/>
        <w:gridCol w:w="1569"/>
        <w:gridCol w:w="1041"/>
        <w:gridCol w:w="1833"/>
        <w:gridCol w:w="802"/>
        <w:gridCol w:w="970"/>
        <w:gridCol w:w="815"/>
      </w:tblGrid>
      <w:tr w14:paraId="5036B144" w14:textId="77777777">
        <w:tblPrEx>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paraId="28D35B5B"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 xml:space="preserve">序号 </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paraId="4F647E4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融资客户</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5D4C9FC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项目名称</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paraId="5F99EA5C"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资产到期日</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paraId="2EC0A23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资产价值（</w:t>
            </w:r>
            <w:r>
              <w:rPr>
                <w:sz w:val="24"/>
              </w:rPr>
              <w:t>元</w:t>
            </w:r>
            <w:r>
              <w:rPr>
                <w:sz w:val="24"/>
              </w:rPr>
              <w:t>）</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paraId="2F1AF25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交易结构</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paraId="37CECFF7" w14:textId="77777777">
            <w:pPr>
              <w:adjustRightInd w:val="0"/>
              <w:snapToGrid w:val="0"/>
              <w:jc w:val="center"/>
              <w:rPr>
                <w:rFonts w:asciiTheme="minorEastAsia" w:eastAsiaTheme="minorEastAsia" w:hAnsiTheme="minorEastAsia" w:cs="仿宋" w:hint="eastAsia"/>
                <w:color w:val="FF0000"/>
                <w:sz w:val="24"/>
              </w:rPr>
            </w:pPr>
            <w:r w:rsidRPr="00D04B68">
              <w:rPr>
                <w:rFonts w:asciiTheme="minorEastAsia" w:eastAsiaTheme="minorEastAsia" w:hAnsiTheme="minorEastAsia" w:cs="仿宋" w:hint="eastAsia"/>
                <w:sz w:val="24"/>
              </w:rPr>
              <w:t>收益分配方式</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paraId="140CF599"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风险状况</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paraId="5D3B70DE"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paraId="4C65D575"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诸暨市国有资产经营有限公司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79BAB70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中信信托·新悦152号·诸暨国资债权投资计划-1</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paraId="0B0D6DDB"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2026-11-16</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paraId="1D3C0F0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52,055,448.66</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paraId="241A2AC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其他非标准化债权类投资</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paraId="1AE90CC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paraId="799D313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马鞍山市国有资本投资运营控股集团有限公司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重庆信托·马鞍山国控集合资金信托计划</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2026-11-23</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74,050,709.54</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bl>
    <w:p w:rsidR="00751A16" w:rsidRPr="00D04B68" w14:paraId="374C1A20" w14:textId="77777777">
      <w:pPr>
        <w:adjustRightInd w:val="0"/>
        <w:snapToGrid w:val="0"/>
        <w:spacing w:line="380" w:lineRule="exact"/>
        <w:rPr>
          <w:rFonts w:asciiTheme="minorEastAsia" w:eastAsiaTheme="minorEastAsia" w:hAnsiTheme="minorEastAsia" w:cs="仿宋" w:hint="eastAsia"/>
          <w:color w:val="0000FF"/>
          <w:kern w:val="0"/>
          <w:sz w:val="24"/>
          <w:highlight w:val="yellow"/>
        </w:rPr>
      </w:pPr>
    </w:p>
    <w:p w:rsidR="00751A16" w:rsidRPr="00D04B68" w14:paraId="7D93081A"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6" w:name="_Toc1849870155"/>
      <w:r w:rsidRPr="00D04B68">
        <w:rPr>
          <w:rFonts w:asciiTheme="minorEastAsia" w:eastAsiaTheme="minorEastAsia" w:hAnsiTheme="minorEastAsia" w:cs="仿宋" w:hint="eastAsia"/>
          <w:sz w:val="24"/>
        </w:rPr>
        <w:t>§5 产品份额变动</w:t>
      </w:r>
      <w:bookmarkEnd w:id="16"/>
    </w:p>
    <w:p w:rsidR="00751A16" w:rsidRPr="00D04B68" w14:paraId="0CAABC6B" w14:textId="77777777">
      <w:pPr>
        <w:adjustRightInd w:val="0"/>
        <w:snapToGrid w:val="0"/>
        <w:spacing w:line="440" w:lineRule="exact"/>
        <w:ind w:firstLine="6240" w:firstLineChars="260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单位：份</w:t>
      </w:r>
    </w:p>
    <w:tbl>
      <w:tblPr>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391"/>
        <w:gridCol w:w="4596"/>
      </w:tblGrid>
      <w:tr w14:paraId="45B54B19" w14:textId="77777777">
        <w:tblPrEx>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751A16" w:rsidRPr="00D04B68" w14:paraId="0D0B08CD" w14:textId="77777777">
            <w:pPr>
              <w:adjustRightInd w:val="0"/>
              <w:snapToGrid w:val="0"/>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报告期期初产品份额总额</w:t>
            </w:r>
          </w:p>
        </w:tc>
        <w:tc>
          <w:tcPr>
            <w:tcW w:w="4596" w:type="dxa"/>
            <w:tcBorders>
              <w:top w:val="single" w:sz="4" w:space="0" w:color="auto"/>
              <w:left w:val="single" w:sz="4" w:space="0" w:color="auto"/>
              <w:bottom w:val="single" w:sz="4" w:space="0" w:color="auto"/>
              <w:right w:val="single" w:sz="4" w:space="0" w:color="auto"/>
            </w:tcBorders>
          </w:tcPr>
          <w:p w:rsidR="00751A16" w:rsidRPr="00D04B68" w14:paraId="7B5D4F3A" w14:textId="77777777">
            <w:pPr>
              <w:adjustRightInd w:val="0"/>
              <w:snapToGrid w:val="0"/>
              <w:jc w:val="righ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260,451,664.00</w:t>
            </w:r>
          </w:p>
        </w:tc>
      </w:tr>
      <w:tr w14:paraId="70DE06BA" w14:textId="77777777">
        <w:tblPrEx>
          <w:tblW w:w="8987" w:type="dxa"/>
          <w:tblInd w:w="79" w:type="dxa"/>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751A16" w:rsidRPr="00D04B68" w14:paraId="570ECEA1" w14:textId="77777777">
            <w:pPr>
              <w:adjustRightInd w:val="0"/>
              <w:snapToGrid w:val="0"/>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报告期期末产品份额总额</w:t>
            </w:r>
          </w:p>
        </w:tc>
        <w:tc>
          <w:tcPr>
            <w:tcW w:w="4596" w:type="dxa"/>
            <w:tcBorders>
              <w:top w:val="single" w:sz="4" w:space="0" w:color="auto"/>
              <w:left w:val="single" w:sz="4" w:space="0" w:color="auto"/>
              <w:bottom w:val="single" w:sz="4" w:space="0" w:color="auto"/>
              <w:right w:val="single" w:sz="4" w:space="0" w:color="auto"/>
            </w:tcBorders>
          </w:tcPr>
          <w:p w:rsidR="00751A16" w:rsidRPr="00D04B68" w14:paraId="6E19DA71" w14:textId="77777777">
            <w:pPr>
              <w:adjustRightInd w:val="0"/>
              <w:snapToGrid w:val="0"/>
              <w:jc w:val="righ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260,451,664.00</w:t>
            </w:r>
          </w:p>
        </w:tc>
      </w:tr>
    </w:tbl>
    <w:p w:rsidR="00751A16" w:rsidRPr="00D04B68" w14:paraId="10B4FA25" w14:textId="77777777">
      <w:pPr>
        <w:widowControl/>
        <w:adjustRightInd w:val="0"/>
        <w:snapToGrid w:val="0"/>
        <w:jc w:val="left"/>
        <w:rPr>
          <w:rFonts w:asciiTheme="minorEastAsia" w:eastAsiaTheme="minorEastAsia" w:hAnsiTheme="minorEastAsia" w:cs="仿宋" w:hint="eastAsia"/>
          <w:color w:val="404040"/>
          <w:kern w:val="0"/>
          <w:sz w:val="24"/>
        </w:rPr>
      </w:pPr>
    </w:p>
    <w:p w:rsidR="00751A16" w:rsidRPr="00D04B68" w14:paraId="09ED1890"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7" w:name="_Toc1646937466"/>
      <w:r w:rsidRPr="00D04B68">
        <w:rPr>
          <w:rFonts w:asciiTheme="minorEastAsia" w:eastAsiaTheme="minorEastAsia" w:hAnsiTheme="minorEastAsia" w:cs="仿宋" w:hint="eastAsia"/>
          <w:sz w:val="24"/>
        </w:rPr>
        <w:t>§6 托管人报告</w:t>
      </w:r>
      <w:bookmarkEnd w:id="17"/>
    </w:p>
    <w:p w:rsidR="00751A16" w:rsidRPr="00D04B68" w14:paraId="67D40BD9"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本报告期内，</w:t>
      </w:r>
      <w:r>
        <w:rPr>
          <w:sz w:val="24"/>
        </w:rPr>
        <w:t>杭州银行股份有限公司</w:t>
      </w:r>
      <w:r w:rsidRPr="00D04B68">
        <w:rPr>
          <w:rFonts w:asciiTheme="minorEastAsia" w:eastAsiaTheme="minorEastAsia" w:hAnsiTheme="minorEastAsia" w:cs="仿宋" w:hint="eastAsia"/>
          <w:sz w:val="24"/>
        </w:rPr>
        <w:t>（以下简称“本托管人”）在对本产品的托管过程中，严格遵守了《关于规范金融机构资产管理业务的指导意见》《商业银行理财业务监督管理办法》《商业银行理财子公司管理办法》等相关法律法规、托管协议的规定，依法安全保管了本产品的全部资产，对本产品的投资运作进行了认真、独立的会计核算和必要的投资监督，没有从事任何损害产品份额持有人利益的行为，诚实信用、勤勉尽责地履行了托管人应尽的义务。</w:t>
      </w:r>
    </w:p>
    <w:p w:rsidR="00751A16" w:rsidRPr="00D04B68" w14:paraId="4CD7853C"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本托管人复核了本产品报告中的财务指标、净值表现和投资组合报告等内容。经复核，本产品报告中披露的理财产品财务数据核对一致。</w:t>
      </w:r>
    </w:p>
    <w:p w:rsidR="00751A16" w:rsidRPr="00D04B68" w14:paraId="031F1CE0" w14:textId="77777777">
      <w:pPr>
        <w:adjustRightInd w:val="0"/>
        <w:snapToGrid w:val="0"/>
        <w:rPr>
          <w:rFonts w:asciiTheme="minorEastAsia" w:eastAsiaTheme="minorEastAsia" w:hAnsiTheme="minorEastAsia" w:cs="仿宋" w:hint="eastAsia"/>
          <w:bCs/>
          <w:sz w:val="24"/>
        </w:rPr>
      </w:pPr>
    </w:p>
    <w:p w:rsidR="00751A16" w:rsidRPr="00D04B68" w14:paraId="5BA37B31"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8" w:name="_Toc1161264879"/>
      <w:r w:rsidRPr="00D04B68">
        <w:rPr>
          <w:rFonts w:asciiTheme="minorEastAsia" w:eastAsiaTheme="minorEastAsia" w:hAnsiTheme="minorEastAsia" w:cs="仿宋" w:hint="eastAsia"/>
          <w:sz w:val="24"/>
        </w:rPr>
        <w:t>§7 报告期内关联交易情况</w:t>
      </w:r>
      <w:bookmarkEnd w:id="18"/>
    </w:p>
    <w:p w:rsidR="00751A16" w:rsidRPr="00D04B68" w14:paraId="29B9DB06" w14:textId="77777777">
      <w:pPr>
        <w:adjustRightInd w:val="0"/>
        <w:snapToGrid w:val="0"/>
        <w:spacing w:line="440" w:lineRule="exact"/>
        <w:outlineLvl w:val="2"/>
        <w:rPr>
          <w:rFonts w:asciiTheme="minorEastAsia" w:eastAsiaTheme="minorEastAsia" w:hAnsiTheme="minorEastAsia" w:cs="仿宋" w:hint="eastAsia"/>
          <w:b/>
          <w:sz w:val="24"/>
        </w:rPr>
      </w:pPr>
      <w:bookmarkStart w:id="19" w:name="_Toc1047437417"/>
      <w:r w:rsidRPr="00D04B68">
        <w:rPr>
          <w:rFonts w:asciiTheme="minorEastAsia" w:eastAsiaTheme="minorEastAsia" w:hAnsiTheme="minorEastAsia" w:cs="仿宋" w:hint="eastAsia"/>
          <w:b/>
          <w:sz w:val="24"/>
        </w:rPr>
        <w:t>7.1 产品投资于关联</w:t>
      </w:r>
      <w:r w:rsidRPr="00D04B68">
        <w:rPr>
          <w:rFonts w:asciiTheme="minorEastAsia" w:eastAsiaTheme="minorEastAsia" w:hAnsiTheme="minorEastAsia" w:cs="仿宋" w:hint="eastAsia"/>
          <w:b/>
          <w:sz w:val="24"/>
        </w:rPr>
        <w:t>方发行</w:t>
      </w:r>
      <w:r w:rsidRPr="00D04B68">
        <w:rPr>
          <w:rFonts w:asciiTheme="minorEastAsia" w:eastAsiaTheme="minorEastAsia" w:hAnsiTheme="minorEastAsia" w:cs="仿宋" w:hint="eastAsia"/>
          <w:b/>
          <w:sz w:val="24"/>
        </w:rPr>
        <w:t>或承销的证券、资产管理产品，或其他关联交易</w:t>
      </w:r>
      <w:bookmarkEnd w:id="19"/>
    </w:p>
    <w:p w:rsidR="00751A16" w:rsidRPr="00D04B68" w14:paraId="5A1445F3" w14:textId="77777777">
      <w:pPr>
        <w:adjustRightInd w:val="0"/>
        <w:snapToGrid w:val="0"/>
        <w:spacing w:line="440" w:lineRule="exact"/>
        <w:ind w:firstLine="6240" w:firstLineChars="2600"/>
        <w:jc w:val="right"/>
        <w:rPr>
          <w:rFonts w:asciiTheme="minorEastAsia" w:eastAsiaTheme="minorEastAsia" w:hAnsiTheme="minorEastAsia" w:cs="仿宋" w:hint="eastAsia"/>
          <w:b/>
          <w:sz w:val="24"/>
        </w:rPr>
      </w:pPr>
      <w:r w:rsidRPr="00D04B68">
        <w:rPr>
          <w:rFonts w:asciiTheme="minorEastAsia" w:eastAsiaTheme="minorEastAsia" w:hAnsiTheme="minorEastAsia" w:cs="仿宋" w:hint="eastAsia"/>
          <w:sz w:val="24"/>
        </w:rPr>
        <w:t>单位：</w:t>
      </w:r>
      <w:r>
        <w:rPr>
          <w:sz w:val="24"/>
        </w:rPr>
        <w:t>元</w:t>
      </w:r>
      <w:r>
        <w:rPr>
          <w:sz w:val="24"/>
        </w:rPr>
        <w:t>、份</w:t>
      </w:r>
    </w:p>
    <w:tbl>
      <w:tblPr>
        <w:tblStyle w:val="TableGrid"/>
        <w:tblW w:w="8994" w:type="dxa"/>
        <w:tblInd w:w="67" w:type="dxa"/>
        <w:tblLayout w:type="fixed"/>
        <w:tblLook w:val="04A0"/>
      </w:tblPr>
      <w:tblGrid>
        <w:gridCol w:w="634"/>
        <w:gridCol w:w="1605"/>
        <w:gridCol w:w="1401"/>
        <w:gridCol w:w="791"/>
        <w:gridCol w:w="754"/>
        <w:gridCol w:w="1904"/>
        <w:gridCol w:w="1905"/>
      </w:tblGrid>
      <w:tr w14:paraId="4DF4C845" w14:textId="77777777">
        <w:tblPrEx>
          <w:tblW w:w="8994" w:type="dxa"/>
          <w:tblInd w:w="67" w:type="dxa"/>
          <w:tblLayout w:type="fixed"/>
          <w:tblLook w:val="04A0"/>
        </w:tblPrEx>
        <w:trPr>
          <w:trHeight w:val="90"/>
        </w:trPr>
        <w:tc>
          <w:tcPr>
            <w:tcW w:w="634" w:type="dxa"/>
            <w:vAlign w:val="center"/>
          </w:tcPr>
          <w:p w:rsidR="00751A16" w:rsidRPr="00D04B68" w14:paraId="56CC7423"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序号</w:t>
            </w:r>
          </w:p>
        </w:tc>
        <w:tc>
          <w:tcPr>
            <w:tcW w:w="1605" w:type="dxa"/>
            <w:vAlign w:val="center"/>
          </w:tcPr>
          <w:p w:rsidR="00751A16" w:rsidRPr="00D04B68" w14:paraId="7C903C07"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关联方</w:t>
            </w:r>
          </w:p>
        </w:tc>
        <w:tc>
          <w:tcPr>
            <w:tcW w:w="1401" w:type="dxa"/>
            <w:vAlign w:val="center"/>
          </w:tcPr>
          <w:p w:rsidR="00751A16" w:rsidRPr="00D04B68" w14:paraId="445BC62A"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资产名称</w:t>
            </w:r>
          </w:p>
        </w:tc>
        <w:tc>
          <w:tcPr>
            <w:tcW w:w="791" w:type="dxa"/>
            <w:vAlign w:val="center"/>
          </w:tcPr>
          <w:p w:rsidR="00751A16" w:rsidRPr="00D04B68" w14:paraId="0FCE0936"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资产类型</w:t>
            </w:r>
          </w:p>
        </w:tc>
        <w:tc>
          <w:tcPr>
            <w:tcW w:w="754" w:type="dxa"/>
            <w:vAlign w:val="center"/>
          </w:tcPr>
          <w:p w:rsidR="00751A16" w:rsidRPr="00D04B68" w14:paraId="6E4408D3"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交易类型</w:t>
            </w:r>
          </w:p>
        </w:tc>
        <w:tc>
          <w:tcPr>
            <w:tcW w:w="1904" w:type="dxa"/>
            <w:vAlign w:val="center"/>
          </w:tcPr>
          <w:p w:rsidR="00751A16" w:rsidRPr="00D04B68" w14:paraId="431366EF"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交易金额（</w:t>
            </w:r>
            <w:r w:rsidRPr="00D04B68">
              <w:rPr>
                <w:rFonts w:asciiTheme="minorEastAsia" w:eastAsiaTheme="minorEastAsia" w:hAnsiTheme="minorEastAsia" w:cs="仿宋" w:hint="eastAsia"/>
                <w:sz w:val="24"/>
              </w:rPr>
              <w:t>元</w:t>
            </w:r>
            <w:r w:rsidRPr="00D04B68">
              <w:rPr>
                <w:rFonts w:asciiTheme="minorEastAsia" w:eastAsiaTheme="minorEastAsia" w:hAnsiTheme="minorEastAsia" w:cs="仿宋" w:hint="eastAsia"/>
                <w:color w:val="000000"/>
                <w:kern w:val="0"/>
                <w:sz w:val="24"/>
              </w:rPr>
              <w:t>）</w:t>
            </w:r>
          </w:p>
        </w:tc>
        <w:tc>
          <w:tcPr>
            <w:tcW w:w="1905" w:type="dxa"/>
            <w:vAlign w:val="center"/>
          </w:tcPr>
          <w:p w:rsidR="00751A16" w:rsidRPr="00D04B68" w14:paraId="5A60C866"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份额</w:t>
            </w:r>
          </w:p>
        </w:tc>
      </w:tr>
    </w:tbl>
    <w:p w:rsidR="00751A16" w:rsidRPr="00D04B68" w14:paraId="6D343DA2" w14:textId="77777777">
      <w:pPr>
        <w:adjustRightInd w:val="0"/>
        <w:snapToGrid w:val="0"/>
        <w:spacing w:line="440" w:lineRule="exact"/>
        <w:outlineLvl w:val="2"/>
        <w:rPr>
          <w:rFonts w:asciiTheme="minorEastAsia" w:eastAsiaTheme="minorEastAsia" w:hAnsiTheme="minorEastAsia" w:cs="仿宋" w:hint="eastAsia"/>
          <w:b/>
          <w:sz w:val="24"/>
        </w:rPr>
      </w:pPr>
      <w:bookmarkStart w:id="20" w:name="_Toc1357213060"/>
      <w:r w:rsidRPr="00D04B68">
        <w:rPr>
          <w:rFonts w:asciiTheme="minorEastAsia" w:eastAsiaTheme="minorEastAsia" w:hAnsiTheme="minorEastAsia" w:cs="仿宋" w:hint="eastAsia"/>
          <w:b/>
          <w:sz w:val="24"/>
        </w:rPr>
        <w:t>7.2 产品向关联方支付的费用</w:t>
      </w:r>
      <w:bookmarkEnd w:id="20"/>
    </w:p>
    <w:tbl>
      <w:tblPr>
        <w:tblStyle w:val="TableGrid"/>
        <w:tblW w:w="8994" w:type="dxa"/>
        <w:tblInd w:w="67" w:type="dxa"/>
        <w:tblLayout w:type="fixed"/>
        <w:tblLook w:val="04A0"/>
      </w:tblPr>
      <w:tblGrid>
        <w:gridCol w:w="694"/>
        <w:gridCol w:w="2958"/>
        <w:gridCol w:w="2202"/>
        <w:gridCol w:w="3140"/>
      </w:tblGrid>
      <w:tr w14:paraId="4BB5BF16" w14:textId="77777777">
        <w:tblPrEx>
          <w:tblW w:w="8994" w:type="dxa"/>
          <w:tblInd w:w="67" w:type="dxa"/>
          <w:tblLayout w:type="fixed"/>
          <w:tblLook w:val="04A0"/>
        </w:tblPrEx>
        <w:tc>
          <w:tcPr>
            <w:tcW w:w="694" w:type="dxa"/>
          </w:tcPr>
          <w:p w:rsidR="00751A16" w:rsidRPr="00D04B68" w14:paraId="082D5708"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序号</w:t>
            </w:r>
          </w:p>
        </w:tc>
        <w:tc>
          <w:tcPr>
            <w:tcW w:w="2958" w:type="dxa"/>
            <w:vAlign w:val="center"/>
          </w:tcPr>
          <w:p w:rsidR="00751A16" w:rsidRPr="00D04B68" w14:paraId="4E708607"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关联方</w:t>
            </w:r>
          </w:p>
        </w:tc>
        <w:tc>
          <w:tcPr>
            <w:tcW w:w="2202" w:type="dxa"/>
            <w:vAlign w:val="center"/>
          </w:tcPr>
          <w:p w:rsidR="00751A16" w:rsidRPr="00D04B68" w14:paraId="4DD29641"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费用类型</w:t>
            </w:r>
          </w:p>
        </w:tc>
        <w:tc>
          <w:tcPr>
            <w:tcW w:w="3140" w:type="dxa"/>
            <w:vAlign w:val="center"/>
          </w:tcPr>
          <w:p w:rsidR="00751A16" w:rsidRPr="00D04B68" w14:paraId="22DB220B"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交易金额（</w:t>
            </w:r>
            <w:r w:rsidRPr="00D04B68">
              <w:rPr>
                <w:rFonts w:asciiTheme="minorEastAsia" w:eastAsiaTheme="minorEastAsia" w:hAnsiTheme="minorEastAsia" w:cs="仿宋" w:hint="eastAsia"/>
                <w:sz w:val="24"/>
              </w:rPr>
              <w:t>元</w:t>
            </w:r>
            <w:r w:rsidRPr="00D04B68">
              <w:rPr>
                <w:rFonts w:asciiTheme="minorEastAsia" w:eastAsiaTheme="minorEastAsia" w:hAnsiTheme="minorEastAsia" w:cs="仿宋" w:hint="eastAsia"/>
                <w:color w:val="000000"/>
                <w:kern w:val="0"/>
                <w:sz w:val="24"/>
              </w:rPr>
              <w:t>）</w:t>
            </w:r>
          </w:p>
        </w:tc>
      </w:tr>
    </w:tbl>
    <w:p w:rsidR="00751A16" w:rsidRPr="00D04B68" w14:paraId="5017A0E5" w14:textId="77777777">
      <w:pPr>
        <w:widowControl/>
        <w:adjustRightInd w:val="0"/>
        <w:snapToGrid w:val="0"/>
        <w:ind w:firstLine="480" w:firstLineChars="200"/>
        <w:jc w:val="left"/>
        <w:rPr>
          <w:rFonts w:asciiTheme="minorEastAsia" w:eastAsiaTheme="minorEastAsia" w:hAnsiTheme="minorEastAsia" w:cs="仿宋" w:hint="eastAsia"/>
          <w:color w:val="404040"/>
          <w:kern w:val="0"/>
          <w:sz w:val="24"/>
        </w:rPr>
      </w:pPr>
    </w:p>
    <w:p w:rsidR="00751A16" w:rsidRPr="00D04B68" w14:paraId="358440B1" w14:textId="77777777">
      <w:pPr>
        <w:pStyle w:val="Heading2"/>
        <w:adjustRightInd w:val="0"/>
        <w:snapToGrid w:val="0"/>
        <w:spacing w:line="560" w:lineRule="atLeast"/>
        <w:jc w:val="center"/>
        <w:rPr>
          <w:rFonts w:asciiTheme="minorEastAsia" w:eastAsiaTheme="minorEastAsia" w:hAnsiTheme="minorEastAsia" w:cs="仿宋" w:hint="eastAsia"/>
          <w:bCs/>
          <w:sz w:val="24"/>
        </w:rPr>
      </w:pPr>
      <w:bookmarkStart w:id="21" w:name="_Toc108600986"/>
      <w:r w:rsidRPr="00D04B68">
        <w:rPr>
          <w:rFonts w:asciiTheme="minorEastAsia" w:eastAsiaTheme="minorEastAsia" w:hAnsiTheme="minorEastAsia" w:cs="仿宋" w:hint="eastAsia"/>
          <w:bCs/>
          <w:sz w:val="24"/>
        </w:rPr>
        <w:t>§</w:t>
      </w:r>
      <w:r w:rsidRPr="00D04B68">
        <w:rPr>
          <w:rFonts w:asciiTheme="minorEastAsia" w:eastAsiaTheme="minorEastAsia" w:hAnsiTheme="minorEastAsia" w:cs="仿宋"/>
          <w:bCs/>
          <w:sz w:val="24"/>
        </w:rPr>
        <w:t>8</w:t>
      </w:r>
      <w:r w:rsidRPr="00D04B68">
        <w:rPr>
          <w:rFonts w:asciiTheme="minorEastAsia" w:eastAsiaTheme="minorEastAsia" w:hAnsiTheme="minorEastAsia" w:cs="仿宋" w:hint="eastAsia"/>
          <w:bCs/>
          <w:sz w:val="24"/>
        </w:rPr>
        <w:t xml:space="preserve"> 投资账户信息</w:t>
      </w:r>
      <w:bookmarkEnd w:id="21"/>
    </w:p>
    <w:p w:rsidR="00751A16" w:rsidRPr="00D04B68" w14:paraId="2DB2956D" w14:textId="77777777">
      <w:pPr>
        <w:rPr>
          <w:rFonts w:asciiTheme="minorEastAsia" w:eastAsiaTheme="minorEastAsia" w:hAnsiTheme="minorEastAsia" w:hint="eastAsia"/>
        </w:rPr>
      </w:pPr>
    </w:p>
    <w:tbl>
      <w:tblPr>
        <w:tblStyle w:val="TableGrid"/>
        <w:tblW w:w="8983" w:type="dxa"/>
        <w:tblInd w:w="65" w:type="dxa"/>
        <w:tblLayout w:type="fixed"/>
        <w:tblLook w:val="04A0"/>
      </w:tblPr>
      <w:tblGrid>
        <w:gridCol w:w="2487"/>
        <w:gridCol w:w="6496"/>
      </w:tblGrid>
      <w:tr w14:paraId="1DD1AF4F" w14:textId="77777777">
        <w:tblPrEx>
          <w:tblW w:w="8983" w:type="dxa"/>
          <w:tblInd w:w="65" w:type="dxa"/>
          <w:tblLayout w:type="fixed"/>
          <w:tblLook w:val="04A0"/>
        </w:tblPrEx>
        <w:trPr>
          <w:trHeight w:val="216"/>
        </w:trPr>
        <w:tc>
          <w:tcPr>
            <w:tcW w:w="2487" w:type="dxa"/>
          </w:tcPr>
          <w:p w:rsidR="00751A16" w:rsidRPr="00D04B68" w14:paraId="371B493F"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户名</w:t>
            </w:r>
          </w:p>
        </w:tc>
        <w:tc>
          <w:tcPr>
            <w:tcW w:w="6496" w:type="dxa"/>
          </w:tcPr>
          <w:p w:rsidR="00751A16" w:rsidRPr="00D04B68" w14:paraId="2CD5B6C7"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杭银理财幸福99丰裕固收762天24242期理财</w:t>
            </w:r>
          </w:p>
        </w:tc>
      </w:tr>
      <w:tr w14:paraId="667E95AC" w14:textId="77777777">
        <w:tblPrEx>
          <w:tblW w:w="8983" w:type="dxa"/>
          <w:tblInd w:w="65" w:type="dxa"/>
          <w:tblLayout w:type="fixed"/>
          <w:tblLook w:val="04A0"/>
        </w:tblPrEx>
        <w:trPr>
          <w:trHeight w:val="179"/>
        </w:trPr>
        <w:tc>
          <w:tcPr>
            <w:tcW w:w="2487" w:type="dxa"/>
          </w:tcPr>
          <w:p w:rsidR="00751A16" w:rsidRPr="00D04B68" w14:paraId="103F3A53"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账号</w:t>
            </w:r>
          </w:p>
        </w:tc>
        <w:tc>
          <w:tcPr>
            <w:tcW w:w="6496" w:type="dxa"/>
          </w:tcPr>
          <w:p w:rsidR="00751A16" w:rsidRPr="00D04B68" w14:paraId="64AD46B6"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3301040160015309811-5124242</w:t>
            </w:r>
          </w:p>
        </w:tc>
      </w:tr>
      <w:tr w14:paraId="0630AE46" w14:textId="77777777">
        <w:tblPrEx>
          <w:tblW w:w="8983" w:type="dxa"/>
          <w:tblInd w:w="65" w:type="dxa"/>
          <w:tblLayout w:type="fixed"/>
          <w:tblLook w:val="04A0"/>
        </w:tblPrEx>
        <w:trPr>
          <w:trHeight w:val="163"/>
        </w:trPr>
        <w:tc>
          <w:tcPr>
            <w:tcW w:w="2487" w:type="dxa"/>
          </w:tcPr>
          <w:p w:rsidR="00751A16" w:rsidRPr="00D04B68" w14:paraId="2140D45B"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开户行</w:t>
            </w:r>
          </w:p>
        </w:tc>
        <w:tc>
          <w:tcPr>
            <w:tcW w:w="6496" w:type="dxa"/>
          </w:tcPr>
          <w:p w:rsidR="00751A16" w:rsidRPr="00D04B68" w14:paraId="4F1F7DFA"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杭州银行总行营业部</w:t>
            </w:r>
          </w:p>
        </w:tc>
      </w:tr>
    </w:tbl>
    <w:p w:rsidR="00751A16" w:rsidRPr="00D04B68" w14:paraId="149A6DBA" w14:textId="77777777">
      <w:pPr>
        <w:widowControl/>
        <w:adjustRightInd w:val="0"/>
        <w:snapToGrid w:val="0"/>
        <w:ind w:firstLine="480" w:firstLineChars="200"/>
        <w:jc w:val="left"/>
        <w:rPr>
          <w:rFonts w:asciiTheme="minorEastAsia" w:eastAsiaTheme="minorEastAsia" w:hAnsiTheme="minorEastAsia" w:cs="仿宋" w:hint="eastAsia"/>
          <w:color w:val="404040"/>
          <w:kern w:val="0"/>
          <w:sz w:val="24"/>
        </w:rPr>
      </w:pPr>
    </w:p>
    <w:p w:rsidR="00751A16" w:rsidRPr="00D04B68" w14:paraId="03703830" w14:textId="77777777">
      <w:pPr>
        <w:ind w:left="360"/>
        <w:jc w:val="right"/>
        <w:rPr>
          <w:rFonts w:asciiTheme="minorEastAsia" w:eastAsiaTheme="minorEastAsia" w:hAnsiTheme="minorEastAsia" w:cs="仿宋" w:hint="eastAsia"/>
          <w:sz w:val="24"/>
        </w:rPr>
      </w:pPr>
    </w:p>
    <w:p w:rsidR="00751A16" w:rsidRPr="00D04B68" w14:paraId="03284516" w14:textId="77777777">
      <w:pPr>
        <w:ind w:left="36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杭银理财</w:t>
      </w:r>
      <w:r w:rsidRPr="00D04B68">
        <w:rPr>
          <w:rFonts w:asciiTheme="minorEastAsia" w:eastAsiaTheme="minorEastAsia" w:hAnsiTheme="minorEastAsia" w:cs="仿宋" w:hint="eastAsia"/>
          <w:sz w:val="24"/>
        </w:rPr>
        <w:t>有限责任公司</w:t>
      </w:r>
    </w:p>
    <w:p w:rsidR="00751A16" w:rsidRPr="00C7299D" w:rsidP="00C7299D" w14:paraId="69E97946" w14:textId="30F8E132">
      <w:pPr>
        <w:jc w:val="right"/>
        <w:rPr>
          <w:rFonts w:asciiTheme="minorEastAsia" w:eastAsiaTheme="minorEastAsia" w:hAnsiTheme="minorEastAsia" w:hint="eastAsia"/>
          <w:sz w:val="24"/>
        </w:rPr>
      </w:pPr>
      <w:r w:rsidRPr="00D04B68">
        <w:rPr>
          <w:rFonts w:asciiTheme="minorEastAsia" w:eastAsiaTheme="minorEastAsia" w:hAnsiTheme="minorEastAsia" w:cs="仿宋" w:hint="eastAsia"/>
          <w:sz w:val="24"/>
        </w:rPr>
        <w:t>2026年7月30日</w:t>
      </w:r>
    </w:p>
    <w:sectPr>
      <w:headerReference w:type="default" r:id="rId5"/>
      <w:pgSz w:w="11906" w:h="16838"/>
      <w:pgMar w:top="2551" w:right="1803" w:bottom="2551" w:left="1803" w:header="851" w:footer="992" w:gutter="0"/>
      <w:cols w:space="720"/>
      <w:docGrid w:type="lines" w:linePitch="317"/>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方正仿宋简体">
    <w:altName w:val="微软雅黑"/>
    <w:charset w:val="86"/>
    <w:family w:val="roman"/>
    <w:pitch w:val="default"/>
    <w:sig w:usb0="00000000" w:usb1="00000000" w:usb2="00000000" w:usb3="00000000" w:csb0="00040000" w:csb1="00000000"/>
  </w:font>
  <w:font w:name="方正楷体简体">
    <w:altName w:val="宋体"/>
    <w:charset w:val="86"/>
    <w:family w:val="auto"/>
    <w:pitch w:val="default"/>
    <w:sig w:usb0="00000000" w:usb1="00000000" w:usb2="00000010" w:usb3="00000000" w:csb0="00040000" w:csb1="00000000"/>
  </w:font>
  <w:font w:name="仿宋_GB2312">
    <w:altName w:val="仿宋"/>
    <w:charset w:val="86"/>
    <w:family w:val="modern"/>
    <w:pitch w:val="default"/>
    <w:sig w:usb0="00000000" w:usb1="00000000" w:usb2="0000000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751A16" w14:paraId="3F614973" w14:textId="77777777">
    <w:pPr>
      <w:pStyle w:val="Header"/>
      <w:rPr>
        <w:rFonts w:hint="eastAsia"/>
      </w:rPr>
    </w:pPr>
    <w:r>
      <w:rPr>
        <w:noProof/>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7543800" cy="10671810"/>
          <wp:effectExtent l="0" t="0" r="0" b="15240"/>
          <wp:wrapNone/>
          <wp:docPr id="1" name="WordPictureWatermark140627" descr="微信图片_20220817144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140627" descr="微信图片_20220817144322"/>
                  <pic:cNvPicPr>
                    <a:picLocks noChangeAspect="1"/>
                  </pic:cNvPicPr>
                </pic:nvPicPr>
                <pic:blipFill>
                  <a:blip xmlns:r="http://schemas.openxmlformats.org/officeDocument/2006/relationships" r:embed="rId1"/>
                  <a:stretch>
                    <a:fillRect/>
                  </a:stretch>
                </pic:blipFill>
                <pic:spPr>
                  <a:xfrm>
                    <a:off x="0" y="0"/>
                    <a:ext cx="7543800" cy="10671810"/>
                  </a:xfrm>
                  <a:prstGeom prst="rect">
                    <a:avLst/>
                  </a:prstGeom>
                  <a:noFill/>
                  <a:ln>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Setting w:name="differentiateMultirowTableHeaders" w:uri="http://schemas.microsoft.com/office/word" w:val="1"/>
  </w:compat>
  <w:rsids>
    <w:rsidRoot w:val="00AA1E04"/>
    <w:rsid w:val="AFAD1E65"/>
    <w:rsid w:val="B7F99B83"/>
    <w:rsid w:val="DCF872B1"/>
    <w:rsid w:val="F5F71F57"/>
    <w:rsid w:val="F6F838A1"/>
    <w:rsid w:val="F7FB3A2D"/>
    <w:rsid w:val="FF7F2273"/>
    <w:rsid w:val="FFF2E0ED"/>
    <w:rsid w:val="00017702"/>
    <w:rsid w:val="000F2819"/>
    <w:rsid w:val="00134D0D"/>
    <w:rsid w:val="00193057"/>
    <w:rsid w:val="001F6316"/>
    <w:rsid w:val="00205A23"/>
    <w:rsid w:val="00260BF6"/>
    <w:rsid w:val="002F014C"/>
    <w:rsid w:val="003D3797"/>
    <w:rsid w:val="004458C8"/>
    <w:rsid w:val="00461C5A"/>
    <w:rsid w:val="00475B00"/>
    <w:rsid w:val="005C07DA"/>
    <w:rsid w:val="005F727E"/>
    <w:rsid w:val="006328B0"/>
    <w:rsid w:val="00672142"/>
    <w:rsid w:val="006C1F4E"/>
    <w:rsid w:val="006E38F7"/>
    <w:rsid w:val="006F774D"/>
    <w:rsid w:val="00751A16"/>
    <w:rsid w:val="00761119"/>
    <w:rsid w:val="007631D5"/>
    <w:rsid w:val="007D2EBE"/>
    <w:rsid w:val="007D72E4"/>
    <w:rsid w:val="00800B2E"/>
    <w:rsid w:val="00815E4F"/>
    <w:rsid w:val="0082523D"/>
    <w:rsid w:val="00886687"/>
    <w:rsid w:val="00990402"/>
    <w:rsid w:val="00A63151"/>
    <w:rsid w:val="00AA1E04"/>
    <w:rsid w:val="00AB1208"/>
    <w:rsid w:val="00B43FDA"/>
    <w:rsid w:val="00BC29D8"/>
    <w:rsid w:val="00C30F1B"/>
    <w:rsid w:val="00C7299D"/>
    <w:rsid w:val="00CA2B83"/>
    <w:rsid w:val="00CE5B30"/>
    <w:rsid w:val="00D04B68"/>
    <w:rsid w:val="00D06F63"/>
    <w:rsid w:val="00D47532"/>
    <w:rsid w:val="00EE58CB"/>
    <w:rsid w:val="00FB089E"/>
    <w:rsid w:val="00FC3FEB"/>
    <w:rsid w:val="0281406F"/>
    <w:rsid w:val="04F90740"/>
    <w:rsid w:val="0BA02BFF"/>
    <w:rsid w:val="0D276FB6"/>
    <w:rsid w:val="0F1B1610"/>
    <w:rsid w:val="0F467395"/>
    <w:rsid w:val="11B304D2"/>
    <w:rsid w:val="134F425C"/>
    <w:rsid w:val="18306633"/>
    <w:rsid w:val="1B00023D"/>
    <w:rsid w:val="1EBA48BA"/>
    <w:rsid w:val="1F1B4E17"/>
    <w:rsid w:val="24474193"/>
    <w:rsid w:val="308B2C34"/>
    <w:rsid w:val="35CE5CC4"/>
    <w:rsid w:val="3DA52D7D"/>
    <w:rsid w:val="41377245"/>
    <w:rsid w:val="41DC4D17"/>
    <w:rsid w:val="430638E4"/>
    <w:rsid w:val="44D92303"/>
    <w:rsid w:val="455F2458"/>
    <w:rsid w:val="47DE7A2F"/>
    <w:rsid w:val="48D23207"/>
    <w:rsid w:val="4D1E00DE"/>
    <w:rsid w:val="4DEBD764"/>
    <w:rsid w:val="4FB86BC8"/>
    <w:rsid w:val="4FC34482"/>
    <w:rsid w:val="50895907"/>
    <w:rsid w:val="510B520C"/>
    <w:rsid w:val="51D66B08"/>
    <w:rsid w:val="52C05AE2"/>
    <w:rsid w:val="53197A4B"/>
    <w:rsid w:val="5A5A130E"/>
    <w:rsid w:val="5C722391"/>
    <w:rsid w:val="6087643C"/>
    <w:rsid w:val="6283238F"/>
    <w:rsid w:val="67146183"/>
    <w:rsid w:val="67272BEB"/>
    <w:rsid w:val="6BD40231"/>
    <w:rsid w:val="70496C0D"/>
    <w:rsid w:val="707D02CF"/>
    <w:rsid w:val="77A17847"/>
    <w:rsid w:val="7A9E1EC8"/>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14:docId w14:val="4A8F283C"/>
  <w15:docId w15:val="{1D255A89-98F8-4063-871F-86820E95DA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等线" w:eastAsia="等线" w:hAnsi="等线"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unhideWhenUsed="1" w:qFormat="1"/>
    <w:lsdException w:name="heading 3"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uiPriority="39" w:unhideWhenUsed="1" w:qFormat="1"/>
    <w:lsdException w:name="toc 3"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widowControl w:val="0"/>
      <w:jc w:val="both"/>
    </w:pPr>
    <w:rPr>
      <w:kern w:val="2"/>
      <w:sz w:val="21"/>
      <w:szCs w:val="24"/>
    </w:rPr>
  </w:style>
  <w:style w:type="paragraph" w:styleId="Heading2">
    <w:name w:val="heading 2"/>
    <w:basedOn w:val="Normal"/>
    <w:next w:val="Normal"/>
    <w:link w:val="2"/>
    <w:unhideWhenUsed/>
    <w:qFormat/>
    <w:pPr>
      <w:keepNext/>
      <w:keepLines/>
      <w:spacing w:line="400" w:lineRule="exact"/>
      <w:jc w:val="left"/>
      <w:outlineLvl w:val="1"/>
    </w:pPr>
    <w:rPr>
      <w:rFonts w:ascii="Arial" w:eastAsia="宋体" w:hAnsi="Arial"/>
      <w:b/>
    </w:rPr>
  </w:style>
  <w:style w:type="paragraph" w:styleId="Heading3">
    <w:name w:val="heading 3"/>
    <w:basedOn w:val="Normal"/>
    <w:next w:val="Normal"/>
    <w:link w:val="3"/>
    <w:unhideWhenUsed/>
    <w:qFormat/>
    <w:pPr>
      <w:keepNext/>
      <w:keepLines/>
      <w:spacing w:line="400" w:lineRule="exact"/>
      <w:jc w:val="left"/>
      <w:outlineLvl w:val="2"/>
    </w:pPr>
    <w:rPr>
      <w:rFonts w:ascii="Times New Roman" w:eastAsia="宋体" w:hAnsi="Times New Roman"/>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a1"/>
    <w:unhideWhenUsed/>
    <w:qFormat/>
    <w:pPr>
      <w:spacing w:after="120"/>
    </w:pPr>
    <w:rPr>
      <w:rFonts w:ascii="Times New Roman" w:eastAsia="方正仿宋简体" w:hAnsi="Times New Roman"/>
      <w:sz w:val="32"/>
      <w:szCs w:val="20"/>
    </w:rPr>
  </w:style>
  <w:style w:type="paragraph" w:styleId="TOC3">
    <w:name w:val="toc 3"/>
    <w:basedOn w:val="Normal"/>
    <w:next w:val="Normal"/>
    <w:uiPriority w:val="39"/>
    <w:unhideWhenUsed/>
    <w:qFormat/>
    <w:pPr>
      <w:ind w:left="840" w:leftChars="400"/>
    </w:pPr>
  </w:style>
  <w:style w:type="paragraph" w:styleId="BalloonText">
    <w:name w:val="Balloon Text"/>
    <w:basedOn w:val="Normal"/>
    <w:link w:val="a0"/>
    <w:uiPriority w:val="99"/>
    <w:unhideWhenUsed/>
    <w:qFormat/>
    <w:rPr>
      <w:sz w:val="18"/>
      <w:szCs w:val="18"/>
    </w:rPr>
  </w:style>
  <w:style w:type="paragraph" w:styleId="Footer">
    <w:name w:val="footer"/>
    <w:basedOn w:val="Normal"/>
    <w:link w:val="a2"/>
    <w:uiPriority w:val="99"/>
    <w:unhideWhenUsed/>
    <w:qFormat/>
    <w:pPr>
      <w:tabs>
        <w:tab w:val="center" w:pos="4153"/>
        <w:tab w:val="right" w:pos="8306"/>
      </w:tabs>
      <w:snapToGrid w:val="0"/>
      <w:jc w:val="left"/>
    </w:pPr>
    <w:rPr>
      <w:sz w:val="18"/>
      <w:szCs w:val="18"/>
    </w:rPr>
  </w:style>
  <w:style w:type="paragraph" w:styleId="Header">
    <w:name w:val="header"/>
    <w:basedOn w:val="Normal"/>
    <w:link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2">
    <w:name w:val="toc 2"/>
    <w:basedOn w:val="Normal"/>
    <w:next w:val="Normal"/>
    <w:uiPriority w:val="39"/>
    <w:unhideWhenUsed/>
    <w:qFormat/>
    <w:pPr>
      <w:ind w:left="420" w:leftChars="200"/>
    </w:pPr>
  </w:style>
  <w:style w:type="paragraph" w:styleId="NormalWeb">
    <w:name w:val="Normal (Web)"/>
    <w:basedOn w:val="Normal"/>
    <w:unhideWhenUsed/>
    <w:qFormat/>
    <w:pPr>
      <w:widowControl/>
      <w:spacing w:before="100" w:beforeAutospacing="1" w:after="100" w:afterAutospacing="1"/>
    </w:pPr>
    <w:rPr>
      <w:rFonts w:ascii="宋体" w:eastAsia="宋体" w:hAnsi="宋体"/>
      <w:kern w:val="0"/>
      <w:sz w:val="24"/>
      <w:szCs w:val="20"/>
    </w:rPr>
  </w:style>
  <w:style w:type="table" w:styleId="TableGrid">
    <w:name w:val="Table Grid"/>
    <w:basedOn w:val="TableNormal"/>
    <w:unhideWhenUsed/>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
    <w:name w:val="页眉 字符"/>
    <w:basedOn w:val="DefaultParagraphFont"/>
    <w:link w:val="Header"/>
    <w:qFormat/>
    <w:rPr>
      <w:sz w:val="18"/>
    </w:rPr>
  </w:style>
  <w:style w:type="character" w:customStyle="1" w:styleId="3">
    <w:name w:val="标题 3 字符"/>
    <w:basedOn w:val="DefaultParagraphFont"/>
    <w:link w:val="Heading3"/>
    <w:qFormat/>
    <w:rPr>
      <w:rFonts w:ascii="Times New Roman" w:eastAsia="宋体" w:hAnsi="Times New Roman"/>
      <w:b/>
    </w:rPr>
  </w:style>
  <w:style w:type="character" w:customStyle="1" w:styleId="a0">
    <w:name w:val="批注框文本 字符"/>
    <w:basedOn w:val="DefaultParagraphFont"/>
    <w:link w:val="BalloonText"/>
    <w:uiPriority w:val="99"/>
    <w:semiHidden/>
    <w:qFormat/>
    <w:rPr>
      <w:kern w:val="2"/>
      <w:sz w:val="18"/>
      <w:szCs w:val="18"/>
    </w:rPr>
  </w:style>
  <w:style w:type="character" w:customStyle="1" w:styleId="a1">
    <w:name w:val="正文文本 字符"/>
    <w:basedOn w:val="DefaultParagraphFont"/>
    <w:link w:val="BodyText"/>
    <w:qFormat/>
    <w:rPr>
      <w:rFonts w:ascii="Times New Roman" w:eastAsia="方正仿宋简体" w:hAnsi="Times New Roman" w:cs="Times New Roman"/>
      <w:sz w:val="32"/>
      <w:szCs w:val="20"/>
    </w:rPr>
  </w:style>
  <w:style w:type="character" w:customStyle="1" w:styleId="2">
    <w:name w:val="标题 2 字符"/>
    <w:basedOn w:val="DefaultParagraphFont"/>
    <w:link w:val="Heading2"/>
    <w:qFormat/>
    <w:rPr>
      <w:rFonts w:ascii="Arial" w:eastAsia="宋体" w:hAnsi="Arial"/>
      <w:b/>
    </w:rPr>
  </w:style>
  <w:style w:type="character" w:customStyle="1" w:styleId="a2">
    <w:name w:val="页脚 字符"/>
    <w:basedOn w:val="DefaultParagraphFont"/>
    <w:link w:val="Footer"/>
    <w:uiPriority w:val="99"/>
    <w:qFormat/>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theme" Target="theme/theme1.xml" /><Relationship Id="rId7" Type="http://schemas.openxmlformats.org/officeDocument/2006/relationships/styles" Target="styles.xml" /></Relationships>
</file>

<file path=word/_rels/header1.xml.rels><?xml version="1.0" encoding="utf-8" standalone="yes"?><Relationships xmlns="http://schemas.openxmlformats.org/package/2006/relationships"><Relationship Id="rId1" Type="http://schemas.openxmlformats.org/officeDocument/2006/relationships/image" Target="media/image1.jpeg"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7</Pages>
  <Words>419</Words>
  <Characters>2392</Characters>
  <Application>Microsoft Office Word</Application>
  <DocSecurity>0</DocSecurity>
  <Lines>19</Lines>
  <Paragraphs>5</Paragraphs>
  <ScaleCrop>false</ScaleCrop>
  <Company/>
  <LinksUpToDate>false</LinksUpToDate>
  <CharactersWithSpaces>2806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 c</dc:creator>
  <cp:lastModifiedBy>婷婷 刘</cp:lastModifiedBy>
  <cp:revision>31</cp:revision>
  <dcterms:created xsi:type="dcterms:W3CDTF">2023-04-14T06:44:00Z</dcterms:created>
  <dcterms:modified xsi:type="dcterms:W3CDTF">2026-07-27T03:05:00Z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48CAE58F88821DFB686F3364065ABE78_42</vt:lpwstr>
  </property>
  <property fmtid="{D5CDD505-2E9C-101B-9397-08002B2CF9AE}" pid="3" name="KSOProductBuildVer">
    <vt:lpwstr>2052-11.8.2.8411</vt:lpwstr>
  </property>
</Properties>
</file>