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幸福99丰裕固收763天25010期理财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幸福99丰裕固收763天25010期理财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FYG25010</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Z7002225000008</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2025年1月23日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2027年2月25日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2.80-3.30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816,301,981.79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112.00</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816,301,981.79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780,087,584.00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1.0464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1.0464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丰裕固收25010期A款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FYG25010A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1.0438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1.0438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46,497,123.45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丰裕固收25010期B款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FYG25010B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33,890,052.49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丰裕固收25010期C款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FYG25010C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18,887,922.54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丰裕固收25010期D款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FYG25010D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57,071,284.56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丰裕固收25010期E款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FYG25010E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659,955,598.75</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丰裕固收25010期A款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丰裕固收25010期B款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丰裕固收25010期C款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丰裕固收25010期D款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丰裕固收25010期E款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3.26</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0.28</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42.48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60.73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57.24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重庆信托·肥西产城投控信托贷款2501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119,839,077.63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粤财信托·鹏信67号高要建投集合资金信托计划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94,153,034.91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24上虞交通PPN001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72,006,844.38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23德清中创PPN001(项目收益)</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61,325,751.78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22空港城发PPN001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60,629,764.93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24湖产06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51,412,310.96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41,032,780.95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25青岛北发MTN001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30,583,956.99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25瀚瑞投资MTN002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30,556,087.81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中信信托·金林6号·越城城发债权投资计划-1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24,719,053.42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94,016,861.37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11.52</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宣城开盛产业投资发展有限公司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重庆信托·宣城开盛产业信托贷款2501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14,994,402.18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41,032,780.95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绍兴市越城区城市发展建设集团有限公司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中信信托·金林6号·越城城发债权投资计划-1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24,719,053.42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肇庆市高要建投投资开发集团有限公司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粤财信托·鹏信67号高要建投集合资金信托计划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94,153,034.91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肥西县产城投资控股(集团)有限公司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重庆信托·肥西产城投控信托贷款2501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119,839,077.63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马鞍山市国有资本投资运营控股集团有限公司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重庆信托·马鞍山国控集合资金信托计划-3</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22,010,939.17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780,087,584.00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780,087,584.00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杭银理财幸福99丰裕固收763天25010期理财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3301040160015309811-5125010</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