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幸福99丰裕固收763天25028期理财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幸福99丰裕固收763天25028期理财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FYG25028</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Z7002225000046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2025年2月20日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2027年3月25日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2.80-3.10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681,982,318.32</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110.62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681,982,318.32</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655,247,922.00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1.0408</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1.0408</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丰裕固收25028期A款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FYG25028A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1.0385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50,882,364.22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丰裕固收25028期B款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FYG25028B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1.0398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1.0398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53,318,344.25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丰裕固收25028期C款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FYG25028C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1.0412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1.0412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32,755,792.73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丰裕固收25028期D款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FYG25028D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67,567,064.09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丰裕固收25028期E款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FYG25028E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1.0412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1.0412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477,458,753.03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丰裕固收25028期A款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丰裕固收25028期B款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丰裕固收25028期C款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丰裕固收25028期D款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丰裕固收25028期E款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3.04</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43.01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51.80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40.20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56.96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上海信托·宁波镇投控股信托贷款（瑞诚37号）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194,215,579.87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杭工信·玖盈133号拱墅城投信托计划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60,030,824.13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杭工信·玖盈133号西湖城投信托计划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48,035,303.77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25柯桥国资PPN001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40,582,071.23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24昆山文商MTN001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40,517,050.87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24南浦口PPN001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40,501,783.46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24海奕控股PPN001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40,487,581.98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24高邮建投PPN001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40,475,329.59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24恒澄建设PPN001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30,605,239.19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24丰城发投MTN001(项目收益)</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30,508,458.90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4.47</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70,017,391.23</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10.27</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宁波市镇投控股集团有限公司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上海信托·宁波镇投控股信托贷款（瑞诚37号）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194,215,579.87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平湖市城市发展投资(集团)有限公司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上海信托·平湖城投信托贷款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4,275,730.25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杭州市拱墅区城市建设集团有限公司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杭工信·玖盈133号拱墅城投信托计划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60,030,824.13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杭州西湖城市建设投资集团有限公司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杭工信·玖盈133号西湖城投信托计划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48,035,303.77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655,247,922.00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655,247,922.00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杭银理财幸福99丰裕固收763天25028期理财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3301040160015309811-5125028</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