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幸福99丰裕固收763天25134期理财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幸福99丰裕固收763天25134期理财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FYG25134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Z7002225000248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2025年7月17日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2027年8月19日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606,795,733.51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113.69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606,795,733.51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590,818,261.00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1.0270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1.0270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58,159,557.43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32,690,488.58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丰裕固收25134期C款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4,919,097.69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7,254,817.30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272,199,016.25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丰裕固收25134期F款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FYG25134F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210,651,658.56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丰裕固收25134期I款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FYG25134I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41,037.56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丰裕固收25134期P款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FYG25134P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9,662,654.38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丰裕固收25134期Q款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FYG25134Q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11,217,405.76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丰裕固收25134期C款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丰裕固收25134期F款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丰裕固收25134期I款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丰裕固收25134期P款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丰裕固收25134期Q款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54.76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38.50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70.58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国元信托-安鼎10050号-大江东城基信托贷款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96,020,141.03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60,028,415.63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25江津华信MTN002B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51,268,912.33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25盐城交通PPN001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51,212,347.26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中信信托-新悦213号-南浔经开债权投资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41,007,801.58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25市北建投PPN003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30,782,109.04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24晋陵投资MTN001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20,709,890.41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23靖江城投MTN001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20,466,386.57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上海信托-嘉兴高新4号信托贷款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14,989,800.43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中信信托-新悦209号-象山临港债权投资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14,986,714.87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81,022,910.40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13.35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嘉兴智海投资管理有限公司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智海投资-麒盛科技-股票质押-2501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14,982,707.10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上海信托-嘉兴高新4号信托贷款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14,989,800.43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徐旭阳</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徐旭阳-普瑞眼科-股票质押-2502</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4,989,954.30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成都普瑞世纪投资有限责任公司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成都普瑞-普瑞眼科-股票质押-2501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4,967,529.30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杭州大江东城市基础设施建设有限公司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国元信托-安鼎10050号-大江东城基信托贷款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96,020,141.03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浙江湖州南浔经济建设开发有限公司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中信信托-新悦213号-南浔经开债权投资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41,007,801.58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浙江瓯海产业投资集团有限公司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60,028,415.63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浙江象山临港控股集团有限公司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中信信托-新悦209号-象山临港债权投资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14,986,714.87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诸暨经开-康成亨汇英-基金收益权创新19号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13,991,284.90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13,991,284.90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590,818,261.00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590,818,261.00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杭银理财幸福99丰裕固收763天25134期理财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3301040160015309811-5125134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