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幸福99丰裕固收766天25016期理财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幸福99丰裕固收766天25016期理财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FYG25016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Z7002225000022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2025年1月27日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2027年3月4日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2.90-3.20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550,722,438.29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104.18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550,722,438.29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526,814,659.00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1.0454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1.0454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丰裕固收25016期A款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FYG25016A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42,803,421.64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丰裕固收25016期B款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FYG25016B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41,216,033.81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丰裕固收25016期C款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FYG25016C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20,971,301.21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丰裕固收25016期D款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FYG25016D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194,095,608.03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丰裕固收25016期E款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FYG25016E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251,636,073.60</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丰裕固收25016期A款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丰裕固收25016期B款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丰裕固收25016期C款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丰裕固收25016期D款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丰裕固收25016期E款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48.06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58.30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36.25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51.56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光大信托-浙兴金悦3号-高要国资信托贷款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91,474,340.28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16.61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重庆信托·肥西产城投控信托贷款2501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46,936,972.08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24上虞交通PPN001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41,146,768.22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23德清中创PPN001(项目收益)</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40,883,834.52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22马鞍经开MTN001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40,754,720.55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22金华金开PPN001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40,463,502.47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中信信托·新悦183号新昌城建债权投资计划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40,032,759.63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34,027,184.24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22香城投资MTN002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30,347,340.41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21长湖04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20,990,197.26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21,004,545.20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3.81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中信信托·新悦183号新昌城建债权投资计划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40,032,759.63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34,027,184.24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肇庆市高要区国有资产经营有限公司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光大信托-浙兴金悦3号-高要国资信托贷款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91,474,340.28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肥西县产城投资控股(集团)有限公司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重庆信托·肥西产城投控信托贷款2501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46,936,972.08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526,814,659.00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526,814,659.00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杭银理财幸福99丰裕固收766天25016期理财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3301040160015309811-5125016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