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杭银理财幸福99半年添益1802期理财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杭银理财幸福99半年添益1802期理财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TYG6M1802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Z7002221000166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2018年11月16日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1.60-2.35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861,172,210.76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100.18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861,172,210.76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664,540,408.41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1.2958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1.2958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750,021,022.17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1.2970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12,350,657.28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半年添益1802期H款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TYG6M1802H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1.2989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15,480,348.46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1,361,744.88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8,655,061.98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半年添益1802期ZM款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TYG6M1802ZM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1.2957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73,303,375.99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1.03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半年添益1802期H款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3.92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1.77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半年添益1802期ZM款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3.88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24.21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0.34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28.61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68.03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4.85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71.27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30,692,083.56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22工行二级资本债05A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21,014,232.88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23盛裕投资MTN001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20,794,462.47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23江东控股PPN003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20,542,118.63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24农行TLAC非资本债01A(BC)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20,514,908.77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25附息国债07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20,428,560.55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20,174,944.38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15,057,567.54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13,853,647.78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他行存款(250725-000579)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12,392,498.96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1.44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  <w:tr w14:paraId="1E763140" w14:textId="77777777">
        <w:tblPrEx>
          <w:tblW w:w="8994" w:type="dxa"/>
          <w:tblInd w:w="79" w:type="dxa"/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3B70D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C65D57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北京市谷财集团有限公司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BAB7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交银国信-安盈固收T0046号-北京谷财信托贷款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0D6DD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2026-07-10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3C0F0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1,004,889.04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41A2A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信托贷款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AE90CC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到期一次还本付息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9D313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正常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941,783,698.58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664,540,408.41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155,826.14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杭银理财有限责任公司幸福99半年添益1802期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3301040160015309811-1001802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