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杭银理财幸福99半年添益1907期理财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杭银理财幸福99半年添益1907期理财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TYG6M1907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Z7002221000169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2019年4月24日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909,439,677.11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100.04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909,439,677.11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714,665,593.39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1.2725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1.2725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半年添益1907期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TYG6M1907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1.2715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654,163,813.93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半年添益1907期B款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TYG6M1907B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1.2728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42,527,944.25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半年添益1907期M款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TYG6M1907M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1.2757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37,789,659.94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半年添益1907期S款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TYG6M1907S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1.2761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144,165,199.49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半年添益1907期W款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TYG6M1907W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1.2716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267,755.48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半年添益1907期ZA款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TYG6M1907ZA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1.2715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3,351,208.43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半年添益1907期ZM款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TYG6M1907ZM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1.2715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27,174,095.31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半年添益1907期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0.77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3.78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半年添益1907期B款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0.86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3.79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半年添益1907期M款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3.83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半年添益1907期S款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3.84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半年添益1907期W款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0.86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3.78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半年添益1907期ZA款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0.77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3.77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半年添益1907期ZM款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0.77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3.77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0.43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17.26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0.02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0.89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41.55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81.83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58.02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24农行TLAC非资本债01A(BC)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71,802,180.68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7.90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25格力MTN003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50,789,728.08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5.58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22鄂联投MTN003B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30,892,666.85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24建行TLAC非资本债01A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30,689,748.90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3.37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21工商银行二级02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20,556,936.16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24江阴高新MTN003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20,475,900.55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2.25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24湖北宏泰MTN004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20,353,986.03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25河钢集MTN011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20,270,243.01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2.23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26超长特别国债02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19,978,206.45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他行存款(250725-000438)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13,240,967.98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1.46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985,000,293.80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714,665,593.39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162,813.72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杭银理财有限责任公司幸福99半年添益第1907期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3301040160015309811-331907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