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杭银理财幸福99半年添益2004期理财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杭银理财幸福99半年添益2004期理财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TYG6M2004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Z7002221000091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2020年2月7日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675,225,857.53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100.13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675,225,857.53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550,891,340.97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1.2256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1.2256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半年添益2004期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1.2253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534,430,158.84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半年添益2004期B款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TYG6M2004B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1.2287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68,014,540.52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半年添益2004期W款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TYG6M2004W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1.2255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810,056.14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半年添益2004期ZA款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TYG6M2004ZA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1.2252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32,371,514.53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半年添益2004期ZM款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TYG6M2004ZM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1.2253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39,599,587.50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半年添益2004期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0.79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3.52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半年添益2004期B款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3.57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半年添益2004期W款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0.79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3.52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半年添益2004期ZA款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0.89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3.52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半年添益2004期ZM款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0.89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3.52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17.18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0.07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8.43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39.34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72.04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2.28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59.40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24中行TLAC非资本债01A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40,369,841.64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5.98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25建行二级资本债03BC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30,891,834.66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4.58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24工行TLAC非资本债01A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30,281,339.18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4.49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23桐庐投资PPN002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20,607,998.36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3.05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21工商银行二级02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20,556,936.16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3.04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23吴中经发PPN005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20,497,644.66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3.04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他行存款(P27M-000302)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16,855,045.49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2.50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22农行二级资本债02A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10,415,908.49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22工行二级资本债04A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10,388,186.85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23邯郸城投PPN001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10,275,726.30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1.52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589,823,199.05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550,891,340.97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92,805.70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杭银理财有限责任公司幸福99半年添益第2004期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3301040160015309811-332004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