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6F774D" w:rsidP="006F774D" w14:paraId="607DA854" w14:textId="77777777">
      <w:pPr>
        <w:jc w:val="center"/>
        <w:rPr>
          <w:rFonts w:ascii="宋体" w:eastAsia="宋体" w:hAnsi="宋体" w:hint="eastAsia"/>
          <w:b/>
          <w:sz w:val="32"/>
          <w:szCs w:val="20"/>
        </w:rPr>
      </w:pPr>
      <w:bookmarkStart w:id="0" w:name="_Toc379618105"/>
    </w:p>
    <w:p w:rsidR="006F774D" w:rsidP="006F774D" w14:paraId="4FAF8F35" w14:textId="77777777">
      <w:pPr>
        <w:adjustRightInd w:val="0"/>
        <w:snapToGrid w:val="0"/>
        <w:spacing w:line="460" w:lineRule="exact"/>
        <w:jc w:val="center"/>
        <w:rPr>
          <w:rFonts w:ascii="Times New Roman" w:eastAsia="方正楷体简体" w:hAnsi="Times New Roman"/>
          <w:sz w:val="24"/>
        </w:rPr>
      </w:pPr>
    </w:p>
    <w:p w:rsidR="006F774D" w:rsidP="006F774D" w14:paraId="1D15C54A" w14:textId="77777777">
      <w:pPr>
        <w:rPr>
          <w:rFonts w:hint="eastAsia"/>
        </w:rPr>
      </w:pPr>
    </w:p>
    <w:p w:rsidR="006F774D" w:rsidRPr="00D04B68" w:rsidP="006F774D" w14:paraId="673E63F9" w14:textId="77777777">
      <w:pPr>
        <w:autoSpaceDE w:val="0"/>
        <w:autoSpaceDN w:val="0"/>
        <w:spacing w:before="220"/>
        <w:jc w:val="center"/>
        <w:rPr>
          <w:rFonts w:asciiTheme="majorEastAsia" w:eastAsiaTheme="majorEastAsia" w:hAnsiTheme="majorEastAsia" w:cs="仿宋_GB2312" w:hint="eastAsia"/>
          <w:b/>
          <w:kern w:val="0"/>
          <w:sz w:val="52"/>
          <w:szCs w:val="52"/>
          <w:lang w:bidi="zh-CN"/>
        </w:rPr>
      </w:pPr>
      <w:r w:rsidRPr="00D04B68">
        <w:rPr>
          <w:rFonts w:asciiTheme="majorEastAsia" w:eastAsiaTheme="majorEastAsia" w:hAnsiTheme="majorEastAsia" w:cs="仿宋_GB2312" w:hint="eastAsia"/>
          <w:b/>
          <w:kern w:val="0"/>
          <w:sz w:val="52"/>
          <w:szCs w:val="52"/>
          <w:lang w:bidi="zh-CN"/>
        </w:rPr>
        <w:t>杭银理财幸福99半年添益2009期理财</w:t>
      </w:r>
    </w:p>
    <w:p w:rsidR="006F774D" w:rsidRPr="00D04B68" w:rsidP="006F774D" w14:paraId="5F8E3B38" w14:textId="77777777">
      <w:pPr>
        <w:autoSpaceDE w:val="0"/>
        <w:autoSpaceDN w:val="0"/>
        <w:spacing w:line="360" w:lineRule="auto"/>
        <w:jc w:val="center"/>
        <w:rPr>
          <w:rFonts w:asciiTheme="majorEastAsia" w:eastAsiaTheme="majorEastAsia" w:hAnsiTheme="majorEastAsia" w:cs="仿宋_GB2312" w:hint="eastAsia"/>
          <w:b/>
          <w:bCs/>
          <w:kern w:val="0"/>
          <w:sz w:val="44"/>
          <w:szCs w:val="44"/>
          <w:lang w:bidi="zh-CN"/>
        </w:rPr>
      </w:pPr>
      <w:r w:rsidRPr="00D04B68">
        <w:rPr>
          <w:rFonts w:asciiTheme="majorEastAsia" w:eastAsiaTheme="majorEastAsia" w:hAnsiTheme="majorEastAsia" w:cs="仿宋_GB2312" w:hint="eastAsia"/>
          <w:b/>
          <w:bCs/>
          <w:kern w:val="0"/>
          <w:sz w:val="44"/>
          <w:szCs w:val="44"/>
          <w:lang w:bidi="zh-CN"/>
        </w:rPr>
        <w:t>2026</w:t>
      </w:r>
      <w:r>
        <w:rPr>
          <w:b/>
          <w:sz w:val="44"/>
        </w:rPr>
        <w:t>年半年度报告</w:t>
      </w:r>
    </w:p>
    <w:p w:rsidR="006F774D" w:rsidP="006F774D" w14:paraId="6E82C588" w14:textId="77777777">
      <w:pPr>
        <w:jc w:val="center"/>
        <w:rPr>
          <w:rFonts w:ascii="宋体" w:eastAsia="宋体" w:hAnsi="宋体" w:hint="eastAsia"/>
          <w:color w:val="0000FF"/>
          <w:kern w:val="0"/>
          <w:sz w:val="18"/>
          <w:szCs w:val="20"/>
        </w:rPr>
      </w:pPr>
    </w:p>
    <w:p w:rsidR="006F774D" w:rsidP="006F774D" w14:paraId="29E0EBB8" w14:textId="77777777">
      <w:pPr>
        <w:jc w:val="center"/>
        <w:rPr>
          <w:rFonts w:ascii="Times New Roman" w:eastAsia="宋体" w:hAnsi="Times New Roman"/>
          <w:sz w:val="24"/>
        </w:rPr>
      </w:pPr>
    </w:p>
    <w:p w:rsidR="006F774D" w:rsidP="006F774D" w14:paraId="34BFA851" w14:textId="77777777">
      <w:pPr>
        <w:jc w:val="center"/>
        <w:rPr>
          <w:rFonts w:eastAsia="宋体" w:hint="eastAsia"/>
          <w:sz w:val="24"/>
        </w:rPr>
      </w:pPr>
    </w:p>
    <w:p w:rsidR="006F774D" w:rsidP="006F774D" w14:paraId="37A9074A" w14:textId="77777777">
      <w:pPr>
        <w:jc w:val="center"/>
        <w:rPr>
          <w:rFonts w:eastAsia="宋体" w:hint="eastAsia"/>
          <w:sz w:val="24"/>
        </w:rPr>
      </w:pPr>
    </w:p>
    <w:p w:rsidR="006F774D" w:rsidP="006F774D" w14:paraId="6A896FE2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35960E50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RPr="00D04B68" w:rsidP="006F774D" w14:paraId="58AFEB67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hint="eastAsia"/>
          <w:sz w:val="24"/>
        </w:rPr>
        <w:t>产品管理人：</w:t>
      </w:r>
      <w:r w:rsidRPr="00D04B68">
        <w:rPr>
          <w:rFonts w:asciiTheme="minorEastAsia" w:eastAsiaTheme="minorEastAsia" w:hAnsiTheme="minorEastAsia"/>
          <w:sz w:val="24"/>
        </w:rPr>
        <w:t>杭银理财有限责任公司</w:t>
      </w:r>
    </w:p>
    <w:p w:rsidR="006F774D" w:rsidRPr="00D04B68" w:rsidP="006F774D" w14:paraId="6FE6AE2C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hint="eastAsia"/>
          <w:sz w:val="24"/>
        </w:rPr>
        <w:t>产品托管人：</w:t>
      </w:r>
      <w:r w:rsidRPr="00D04B68">
        <w:rPr>
          <w:rFonts w:asciiTheme="minorEastAsia" w:eastAsiaTheme="minorEastAsia" w:hAnsiTheme="minorEastAsia"/>
          <w:sz w:val="24"/>
        </w:rPr>
        <w:t>杭州银行股份有限公司</w:t>
      </w:r>
    </w:p>
    <w:p w:rsidR="006F774D" w:rsidRPr="00D04B68" w:rsidP="006F774D" w14:paraId="7FB4D36E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57201021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0417B4DB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1C81FA7F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/>
          <w:sz w:val="24"/>
        </w:rPr>
        <w:t>2026年7月30日</w:t>
      </w:r>
    </w:p>
    <w:p w:rsidR="006F774D" w:rsidP="006F774D" w14:paraId="417391CF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09AD8A78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61A5D005" w14:textId="77777777">
      <w:pPr>
        <w:jc w:val="center"/>
        <w:rPr>
          <w:rFonts w:ascii="宋体" w:eastAsia="宋体" w:hAnsi="宋体" w:hint="eastAsia"/>
        </w:rPr>
      </w:pPr>
    </w:p>
    <w:p w:rsidR="006F774D" w:rsidP="006F774D" w14:paraId="312A3306" w14:textId="77777777">
      <w:pPr>
        <w:jc w:val="center"/>
        <w:rPr>
          <w:rFonts w:ascii="宋体" w:eastAsia="宋体" w:hAnsi="宋体" w:hint="eastAsia"/>
        </w:rPr>
      </w:pPr>
    </w:p>
    <w:p w:rsidR="00751A16" w:rsidRPr="00D04B68" w14:paraId="3AF4338A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§1  重要提示</w:t>
      </w:r>
      <w:bookmarkEnd w:id="0"/>
    </w:p>
    <w:tbl>
      <w:tblPr>
        <w:tblW w:w="9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20"/>
      </w:tblGrid>
      <w:tr w14:paraId="47E7DF93" w14:textId="77777777">
        <w:tblPrEx>
          <w:tblW w:w="91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141"/>
        </w:trPr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4569FE1D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产品管理人承诺以诚实信用、勤勉尽责的原则管理和运用产品资产，并如实反映产品财务指标及投资组合情况，但不保证产品一定盈利。</w:t>
            </w:r>
          </w:p>
          <w:p w:rsidR="00751A16" w:rsidRPr="00D04B68" w14:paraId="0E46753B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产品托管人根据本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产品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合同规定，于</w:t>
            </w:r>
            <w:r>
              <w:rPr>
                <w:color w:val="40404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复核了本报告中的财务指标、净值表现和投资组合报告等内容，保证复核内容不存在虚假记载、误导性陈述或者重大遗漏。</w:t>
            </w:r>
          </w:p>
          <w:p w:rsidR="00751A16" w:rsidRPr="00D04B68" w14:paraId="400C11FB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产品的过往业绩并不代表其未来表现。投资有风险，投资者在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作出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投资决策前应仔细阅读本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产品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的产品说明书。</w:t>
            </w:r>
          </w:p>
          <w:p w:rsidR="00751A16" w:rsidRPr="00D04B68" w14:paraId="2A1A90D8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本报告中财务资料未经审计。</w:t>
            </w:r>
          </w:p>
          <w:p w:rsidR="00751A16" w:rsidRPr="00D04B68" w14:paraId="58336CF5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本报告期自</w:t>
            </w:r>
            <w:r>
              <w:rPr>
                <w:color w:val="404040"/>
                <w:sz w:val="24"/>
              </w:rPr>
              <w:t>2026年1月1日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起至</w:t>
            </w:r>
            <w:r>
              <w:rPr>
                <w:color w:val="40404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止。</w:t>
            </w:r>
          </w:p>
        </w:tc>
      </w:tr>
    </w:tbl>
    <w:p w:rsidR="00751A16" w:rsidRPr="00D04B68" w14:paraId="2578EBD0" w14:textId="77777777">
      <w:pPr>
        <w:rPr>
          <w:rStyle w:val="a1"/>
          <w:rFonts w:asciiTheme="minorEastAsia" w:eastAsiaTheme="minorEastAsia" w:hAnsiTheme="minorEastAsia" w:cs="仿宋" w:hint="eastAsia"/>
          <w:color w:val="0000FF"/>
          <w:sz w:val="24"/>
        </w:rPr>
      </w:pPr>
    </w:p>
    <w:p w:rsidR="00751A16" w:rsidRPr="00D04B68" w14:paraId="2AFB4323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" w:name="_Toc67575498"/>
      <w:r w:rsidRPr="00D04B68">
        <w:rPr>
          <w:rFonts w:asciiTheme="minorEastAsia" w:eastAsiaTheme="minorEastAsia" w:hAnsiTheme="minorEastAsia" w:cs="仿宋" w:hint="eastAsia"/>
          <w:sz w:val="24"/>
        </w:rPr>
        <w:t>§2  产品概况</w:t>
      </w:r>
      <w:bookmarkEnd w:id="1"/>
    </w:p>
    <w:p w:rsidR="00751A16" w:rsidRPr="00D04B68" w14:paraId="044B4E84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2" w:name="_Toc354129567"/>
      <w:bookmarkStart w:id="3" w:name="_Toc1870029270"/>
      <w:r w:rsidRPr="00D04B68">
        <w:rPr>
          <w:rFonts w:asciiTheme="minorEastAsia" w:eastAsiaTheme="minorEastAsia" w:hAnsiTheme="minorEastAsia" w:cs="仿宋" w:hint="eastAsia"/>
          <w:b/>
          <w:sz w:val="24"/>
        </w:rPr>
        <w:t>2.1 产品基本情况</w:t>
      </w:r>
      <w:bookmarkEnd w:id="2"/>
      <w:bookmarkEnd w:id="3"/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5"/>
        <w:gridCol w:w="5784"/>
      </w:tblGrid>
      <w:tr w14:paraId="46612FF4" w14:textId="77777777">
        <w:tblPrEx>
          <w:tblW w:w="913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0FC54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产品名称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0108F9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杭银理财幸福99半年添益2009期理财</w:t>
            </w:r>
          </w:p>
        </w:tc>
      </w:tr>
      <w:tr w14:paraId="6621B2E3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97981F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产品代码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57C2198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TYG6M2009</w:t>
            </w:r>
          </w:p>
        </w:tc>
      </w:tr>
      <w:tr w14:paraId="278D2244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5D8932B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理财信息登记系统登记编码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092B74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Z7002221000093</w:t>
            </w:r>
          </w:p>
        </w:tc>
      </w:tr>
      <w:tr w14:paraId="2FDB52A7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C68428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产品成立日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6CCF4E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2020年3月25日</w:t>
            </w:r>
          </w:p>
        </w:tc>
      </w:tr>
      <w:tr w14:paraId="0E3CE00F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BFE8E5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产品到期日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FA73F8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-</w:t>
            </w:r>
          </w:p>
        </w:tc>
      </w:tr>
      <w:tr w14:paraId="0D81028A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06C53E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产品募集方式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6DB7E1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公募</w:t>
            </w:r>
          </w:p>
        </w:tc>
      </w:tr>
      <w:tr w14:paraId="15D22C34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94B14DE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产品运作模式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6C4CFC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开放式净值型</w:t>
            </w:r>
          </w:p>
        </w:tc>
      </w:tr>
      <w:tr w14:paraId="2C3F8ED9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AF6736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产品投资性质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BB5E5D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固定收益类</w:t>
            </w:r>
          </w:p>
        </w:tc>
      </w:tr>
      <w:tr w14:paraId="3225F7BB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D57EC9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业绩比较基准（%）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11BCA1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中国人民银行公布的1年期定期存款利率+0.1%</w:t>
            </w:r>
          </w:p>
        </w:tc>
      </w:tr>
      <w:tr w14:paraId="0D3B8E6C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59D8D0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报告期末产品规模（</w:t>
            </w:r>
            <w:r w:rsidRPr="00D04B68" w:rsidR="00D47532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839674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480,585,094.94</w:t>
            </w:r>
          </w:p>
        </w:tc>
      </w:tr>
      <w:tr w14:paraId="38B422A2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D37C3B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杠杆水平（%）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C51C9B7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100.06</w:t>
            </w:r>
          </w:p>
        </w:tc>
      </w:tr>
      <w:tr w14:paraId="3A42A640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1A180A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风险等级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BD29FA0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二级（中低）</w:t>
            </w:r>
          </w:p>
        </w:tc>
      </w:tr>
      <w:tr w14:paraId="21D00FCA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9F0B90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产品管理人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2F6D18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杭银理财有限责任公司</w:t>
            </w:r>
          </w:p>
        </w:tc>
      </w:tr>
      <w:tr w14:paraId="4DD895E0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5FA8EA0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产品托管人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83E6C9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杭州银行股份有限公司</w:t>
            </w:r>
          </w:p>
        </w:tc>
      </w:tr>
    </w:tbl>
    <w:p w:rsidR="00751A16" w:rsidRPr="00D04B68" w14:paraId="08FA94FC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*杠杆水平=总资产/理财产品净资产，理财产品净资产=总资产-总负债</w:t>
      </w:r>
    </w:p>
    <w:p w:rsidR="00751A16" w:rsidRPr="00D04B68" w14:paraId="10323C86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color w:val="000000"/>
          <w:sz w:val="24"/>
        </w:rPr>
      </w:pPr>
    </w:p>
    <w:p w:rsidR="00751A16" w:rsidRPr="00D04B68" w14:paraId="7248A443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4" w:name="_Toc1158767045"/>
      <w:r w:rsidRPr="00D04B68">
        <w:rPr>
          <w:rFonts w:asciiTheme="minorEastAsia" w:eastAsiaTheme="minorEastAsia" w:hAnsiTheme="minorEastAsia" w:cs="仿宋" w:hint="eastAsia"/>
          <w:sz w:val="24"/>
        </w:rPr>
        <w:t>§3  主要财务指标和产品净值表现</w:t>
      </w:r>
      <w:bookmarkEnd w:id="4"/>
    </w:p>
    <w:p w:rsidR="00751A16" w:rsidRPr="00D04B68" w14:paraId="67D29865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5" w:name="_Toc2016014319"/>
      <w:r w:rsidRPr="00D04B68">
        <w:rPr>
          <w:rFonts w:asciiTheme="minorEastAsia" w:eastAsiaTheme="minorEastAsia" w:hAnsiTheme="minorEastAsia" w:cs="仿宋" w:hint="eastAsia"/>
          <w:b/>
          <w:sz w:val="24"/>
        </w:rPr>
        <w:t>3.1 主要财务指标和产品净值表现</w:t>
      </w:r>
      <w:bookmarkEnd w:id="5"/>
    </w:p>
    <w:p w:rsidR="00751A16" w:rsidRPr="00D04B68" w14:paraId="152D56DA" w14:textId="77777777">
      <w:pPr>
        <w:adjustRightInd w:val="0"/>
        <w:snapToGrid w:val="0"/>
        <w:spacing w:line="440" w:lineRule="exact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元</w:t>
      </w:r>
      <w:r>
        <w:rPr>
          <w:sz w:val="24"/>
        </w:rPr>
        <w:t>、份、</w:t>
      </w:r>
      <w:r>
        <w:rPr>
          <w:sz w:val="24"/>
        </w:rPr>
        <w:t>元</w:t>
      </w:r>
      <w:r>
        <w:rPr>
          <w:sz w:val="24"/>
        </w:rPr>
        <w:t>/份</w:t>
      </w:r>
    </w:p>
    <w:tbl>
      <w:tblPr>
        <w:tblW w:w="9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418"/>
        <w:gridCol w:w="585"/>
        <w:gridCol w:w="407"/>
        <w:gridCol w:w="992"/>
        <w:gridCol w:w="3321"/>
      </w:tblGrid>
      <w:tr w14:paraId="0B2038E2" w14:textId="77777777">
        <w:tblPrEx>
          <w:tblW w:w="91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7699BD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主要财务指标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98CA59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报告期</w:t>
            </w:r>
          </w:p>
          <w:p w:rsidR="00751A16" w:rsidRPr="00D04B68" w14:paraId="23B8FF20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（</w:t>
            </w:r>
            <w:r>
              <w:rPr>
                <w:color w:val="000000"/>
                <w:sz w:val="24"/>
              </w:rPr>
              <w:t>2026年1月1日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-</w:t>
            </w:r>
            <w:r>
              <w:rPr>
                <w:color w:val="00000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</w:tr>
      <w:tr w14:paraId="667F73D2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E32E9CD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1.期末产品资产净值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240440D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480,585,094.94</w:t>
            </w:r>
          </w:p>
        </w:tc>
      </w:tr>
      <w:tr w14:paraId="791DFBF0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28B3BF8" w14:textId="77777777">
            <w:pPr>
              <w:widowControl/>
              <w:adjustRightInd w:val="0"/>
              <w:snapToGrid w:val="0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2.期末产品总份额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2887C85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394,066,563.39</w:t>
            </w:r>
          </w:p>
        </w:tc>
      </w:tr>
      <w:tr w14:paraId="7253AFB3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E572FAF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3.期末产品份额单位净值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1CD0C0A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1.2195</w:t>
            </w:r>
          </w:p>
        </w:tc>
      </w:tr>
      <w:tr w14:paraId="38600F39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F885E97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4.期末产品份额累计净值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DA1845E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1.2195</w:t>
            </w:r>
          </w:p>
        </w:tc>
      </w:tr>
      <w:tr w14:paraId="7BE8026D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91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34C7F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FF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报告期末下属子产品相关信息披露</w:t>
            </w:r>
          </w:p>
        </w:tc>
      </w:tr>
      <w:tr w14:paraId="5DC1C02B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EB21C8B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子产品名称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1FDA73B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子产品代码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B057F1D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份额</w:t>
            </w:r>
          </w:p>
          <w:p w:rsidR="00751A16" w:rsidRPr="00D04B68" w14:paraId="7CEA5EF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净值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64A04FE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份额累计净值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0AE67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资产净值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CF62515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半年添益2009期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9F9934F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6952121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224CA41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1.2195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86FDC3B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454,225,066.33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半年添益2009期B款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TYG6M2009B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1.2202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6,580,479.43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半年添益2009期W款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TYG6M2009W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1.2179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1,049.17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半年添益2009期ZA款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TYG6M2009ZA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1.2195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201,399.04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半年添益2009期ZM款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TYG6M2009ZM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1.2194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19,577,100.97</w:t>
            </w:r>
          </w:p>
        </w:tc>
      </w:tr>
    </w:tbl>
    <w:p w:rsidR="00751A16" w:rsidRPr="00D04B68" w14:paraId="2330BB98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6" w:name="_Toc155677067"/>
      <w:r w:rsidRPr="00D04B68">
        <w:rPr>
          <w:rFonts w:asciiTheme="minorEastAsia" w:eastAsiaTheme="minorEastAsia" w:hAnsiTheme="minorEastAsia" w:cs="仿宋" w:hint="eastAsia"/>
          <w:b/>
          <w:sz w:val="24"/>
        </w:rPr>
        <w:t>3.</w:t>
      </w:r>
      <w:r w:rsidRPr="00D04B68">
        <w:rPr>
          <w:rFonts w:asciiTheme="minorEastAsia" w:eastAsiaTheme="minorEastAsia" w:hAnsiTheme="minorEastAsia" w:cs="仿宋"/>
          <w:b/>
          <w:sz w:val="24"/>
        </w:rPr>
        <w:t>2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 xml:space="preserve"> 产品收益表现</w:t>
      </w:r>
      <w:bookmarkEnd w:id="6"/>
    </w:p>
    <w:tbl>
      <w:tblPr>
        <w:tblW w:w="9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16"/>
        <w:gridCol w:w="1390"/>
        <w:gridCol w:w="1338"/>
        <w:gridCol w:w="1362"/>
        <w:gridCol w:w="1246"/>
        <w:gridCol w:w="1569"/>
      </w:tblGrid>
      <w:tr w14:paraId="6B0A80E7" w14:textId="77777777">
        <w:tblPrEx>
          <w:tblW w:w="912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F998BC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产品名称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094887E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一个月年化收益率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D4527E2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三个月年化收益率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117E85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六个月年化收益率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D38FFE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近一年年化收益率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EBE7139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成立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以来年化收益率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D001F06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半年添益2009期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B2DB75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1.30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099ECC5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C1D368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7C1C7A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1495F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3.50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半年添益2009期B款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1.40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2.20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3.51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半年添益2009期W款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1.10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1.97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3.47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半年添益2009期ZA款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1.30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3.50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半年添益2009期ZM款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1.20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1.68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3.50</w:t>
            </w:r>
          </w:p>
        </w:tc>
      </w:tr>
    </w:tbl>
    <w:p w:rsidR="00800B2E" w:rsidRPr="00D04B68" w:rsidP="00800B2E" w14:paraId="7A8F122D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</w:t>
      </w:r>
      <w:r w:rsidRPr="00D04B68">
        <w:rPr>
          <w:rFonts w:asciiTheme="minorEastAsia" w:eastAsiaTheme="minorEastAsia" w:hAnsiTheme="minorEastAsia" w:cs="仿宋" w:hint="eastAsia"/>
          <w:sz w:val="24"/>
        </w:rPr>
        <w:t>折合年化收益率</w:t>
      </w:r>
      <w:r w:rsidRPr="00D04B68">
        <w:rPr>
          <w:rFonts w:asciiTheme="minorEastAsia" w:eastAsiaTheme="minorEastAsia" w:hAnsiTheme="minorEastAsia" w:cs="仿宋" w:hint="eastAsia"/>
          <w:sz w:val="24"/>
        </w:rPr>
        <w:t>计算公式为：（当前累计净值-N天前累计净值）/N天前单位净值/N*365*100%，N的取值为：近一个月：30天；近三个月：90天；近六个月：180天；近一年：365天；成立以来：当前日期-成立日；</w:t>
      </w:r>
      <w:r w:rsidRPr="00D04B68">
        <w:rPr>
          <w:rFonts w:asciiTheme="minorEastAsia" w:eastAsiaTheme="minorEastAsia" w:hAnsiTheme="minorEastAsia" w:cs="仿宋" w:hint="eastAsia"/>
          <w:sz w:val="24"/>
        </w:rPr>
        <w:br/>
        <w:t>*产品过往业绩相关数据已经产品托管人复核；</w:t>
      </w:r>
    </w:p>
    <w:p w:rsidR="00800B2E" w:rsidRPr="00D04B68" w:rsidP="00800B2E" w14:paraId="5DB9507E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</w:t>
      </w:r>
      <w:r w:rsidRPr="00D04B68">
        <w:rPr>
          <w:rFonts w:asciiTheme="minorEastAsia" w:eastAsiaTheme="minorEastAsia" w:hAnsiTheme="minorEastAsia" w:hint="eastAsia"/>
          <w:sz w:val="24"/>
        </w:rPr>
        <w:t>理财产品</w:t>
      </w:r>
      <w:r w:rsidRPr="00D04B68" w:rsidR="007D2EBE">
        <w:rPr>
          <w:rFonts w:asciiTheme="minorEastAsia" w:eastAsiaTheme="minorEastAsia" w:hAnsiTheme="minorEastAsia" w:hint="eastAsia"/>
          <w:sz w:val="24"/>
        </w:rPr>
        <w:t>过往业绩不代表其未来的表现及收益，理财非存款，市场有风险，投资须</w:t>
      </w:r>
      <w:r w:rsidRPr="00D04B68">
        <w:rPr>
          <w:rFonts w:asciiTheme="minorEastAsia" w:eastAsiaTheme="minorEastAsia" w:hAnsiTheme="minorEastAsia" w:hint="eastAsia"/>
          <w:sz w:val="24"/>
        </w:rPr>
        <w:t>谨慎。</w:t>
      </w:r>
    </w:p>
    <w:p w:rsidR="00751A16" w:rsidRPr="00D04B68" w14:paraId="2951CD43" w14:textId="77777777">
      <w:pPr>
        <w:adjustRightInd w:val="0"/>
        <w:snapToGrid w:val="0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423C54DD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7" w:name="_Toc829383023"/>
      <w:r w:rsidRPr="00D04B68">
        <w:rPr>
          <w:rFonts w:asciiTheme="minorEastAsia" w:eastAsiaTheme="minorEastAsia" w:hAnsiTheme="minorEastAsia" w:cs="仿宋" w:hint="eastAsia"/>
          <w:sz w:val="24"/>
        </w:rPr>
        <w:t>§4  投资组合报告</w:t>
      </w:r>
      <w:bookmarkEnd w:id="7"/>
    </w:p>
    <w:p w:rsidR="00751A16" w:rsidRPr="00D04B68" w14:paraId="1F906DBE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8" w:name="_Toc124114884"/>
      <w:r w:rsidRPr="00D04B68">
        <w:rPr>
          <w:rFonts w:asciiTheme="minorEastAsia" w:eastAsiaTheme="minorEastAsia" w:hAnsiTheme="minorEastAsia" w:cs="仿宋" w:hint="eastAsia"/>
          <w:b/>
          <w:sz w:val="24"/>
        </w:rPr>
        <w:t>4.1 报告期内产品投资策略回顾</w:t>
      </w:r>
      <w:bookmarkEnd w:id="8"/>
    </w:p>
    <w:p w:rsidR="00751A16" w:rsidRPr="00D04B68" w14:paraId="02CEC222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上半年以来，债券市场长短端收益率整体震荡下行，短端收益率下行幅度超过长端。货币政策延续了“适度宽松”的总基调，但实际操作中呈现出前松后紧的特征。上半年央行未实施全面降准或降息，7D逆回购利率始终维持在1.40%不变。在4月至5月，市场进入流动性超宽松阶段，主要市场利率持续走低。4月DR001均值为1.23%，较上月下行8个基点；1年期商业银行（AAA级）同业存单到期收益率均值降至1.47%，较上月下行7个基点，创历史新低。一季度报告中，央行已悄然删去“降准降息”表述，表明降准降息时点可能延后。财政方面，专项债发行呈“先慢后快”态势， 6月中旬以来专项债发行明显提速，三季度有望迎来发行高峰。</w:t>
        <w:cr/>
        <w:t xml:space="preserve">    从收益率来看，截至6月30日，10年国债收益率1.7330%，较去年12月末下行11.43BP；1年期国股商业银行同业存单收益率1.4625%，较去年12月末下行16.25bp；3年期AA+城投债收益率1.6866%，较去年12月末下行25.18bp，3年期AAA商业银行二级资本债收益率1.7002%，较去年12月末下行28.36bp。本产品主要配置固收类资产，债券部分以信用债为主，久期适中偏短，上半年以来受信用利差小幅压缩及收益率小幅下行影响，产品净值整体保持了较好的表现。</w:t>
        <w:cr/>
        <w:t xml:space="preserve">    </w:t>
      </w:r>
    </w:p>
    <w:p w:rsidR="00751A16" w:rsidRPr="00D04B68" w14:paraId="50FA36FE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9" w:name="_Toc792234151"/>
      <w:r w:rsidRPr="00D04B68">
        <w:rPr>
          <w:rFonts w:asciiTheme="minorEastAsia" w:eastAsiaTheme="minorEastAsia" w:hAnsiTheme="minorEastAsia" w:cs="仿宋" w:hint="eastAsia"/>
          <w:b/>
          <w:sz w:val="24"/>
        </w:rPr>
        <w:t>4.2产品未来展望</w:t>
      </w:r>
      <w:bookmarkEnd w:id="9"/>
    </w:p>
    <w:p w:rsidR="00751A16" w:rsidRPr="00D04B68" w14:paraId="2A1C814C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下半年多空因素交织、宏观能见度偏低。伴随中东局势降温，美伊签署谅解备忘录，国际油价快速回落，此前高油价带动国内PPI持续上行的势头基本见顶，下半年通胀带来的政策约束明显减弱。这为货币政策宽松创造了有利条件。但同时，从供给上看，三季度或压力最大， 三季度利率债供给高峰叠加滞后发行补发，净发行量将大幅高于去年同期，30年期超长国债将面临交易盘加仓不足与配置盘承接有限的供需压力。下半年债市大概率处于多空拉锯的震荡格局，利率债在供给冲击与配置需求之间寻求平衡，信用债则以票息收入为主、波段操作为辅。</w:t>
        <w:cr/>
        <w:t xml:space="preserve">    </w:t>
      </w:r>
    </w:p>
    <w:p w:rsidR="00751A16" w:rsidRPr="00D04B68" w14:paraId="229914FB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0" w:name="_Toc680764457"/>
      <w:r w:rsidRPr="00D04B68">
        <w:rPr>
          <w:rFonts w:asciiTheme="minorEastAsia" w:eastAsiaTheme="minorEastAsia" w:hAnsiTheme="minorEastAsia" w:cs="仿宋" w:hint="eastAsia"/>
          <w:b/>
          <w:sz w:val="24"/>
        </w:rPr>
        <w:t>4.3投资组合的流动性风险分析</w:t>
      </w:r>
      <w:bookmarkEnd w:id="10"/>
    </w:p>
    <w:p w:rsidR="00751A16" w:rsidRPr="00D04B68" w14:paraId="65C6A8E3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组合资产负债匹配，在报告期内未发生重大流动性风险事件。</w:t>
      </w:r>
    </w:p>
    <w:p w:rsidR="00751A16" w:rsidRPr="00D04B68" w14:paraId="114A0627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1" w:name="_Toc1962841230"/>
      <w:r w:rsidRPr="00D04B68">
        <w:rPr>
          <w:rFonts w:asciiTheme="minorEastAsia" w:eastAsiaTheme="minorEastAsia" w:hAnsiTheme="minorEastAsia" w:cs="仿宋" w:hint="eastAsia"/>
          <w:b/>
          <w:sz w:val="24"/>
        </w:rPr>
        <w:t>4.4 报告期末投资组合分类</w:t>
      </w:r>
      <w:bookmarkEnd w:id="11"/>
    </w:p>
    <w:tbl>
      <w:tblPr>
        <w:tblW w:w="9024" w:type="dxa"/>
        <w:tblInd w:w="-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6"/>
        <w:gridCol w:w="4082"/>
        <w:gridCol w:w="2268"/>
        <w:gridCol w:w="2268"/>
      </w:tblGrid>
      <w:tr w14:paraId="2CB08674" w14:textId="77777777" w:rsidTr="00672142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41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5FDAB90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:rsidP="00672142" w14:paraId="64F9C1A5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A16" w:rsidRPr="00D04B68" w14:paraId="5C86D14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期末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穿透前占总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资产比例（％）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A16" w:rsidRPr="00D04B68" w14:paraId="3B184234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期末穿透后占总资产比例（％）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0B22E78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518381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现金及银行存款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D2DEB8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5B28ED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25.21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同业存单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3.14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拆放同业及债券买入返售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0.31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债券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42.43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65.41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非标准化债权类资产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权益类投资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金融衍生品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代客境外理财投资QDII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商品类资产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另类资产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公募基金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5.92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私募基金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资产管理产品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57.48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委外投资——协议方式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合计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100.00</w:t>
            </w:r>
          </w:p>
        </w:tc>
      </w:tr>
    </w:tbl>
    <w:p w:rsidR="00751A16" w:rsidRPr="00D04B68" w14:paraId="3EEE4677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2" w:name="_Toc1258005047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5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报告期末投资前十名资产明细</w:t>
      </w:r>
      <w:bookmarkEnd w:id="12"/>
    </w:p>
    <w:p w:rsidR="00751A16" w:rsidRPr="00D04B68" w14:paraId="56120CA9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9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2"/>
        <w:gridCol w:w="3772"/>
        <w:gridCol w:w="2340"/>
        <w:gridCol w:w="2356"/>
      </w:tblGrid>
      <w:tr w14:paraId="3E3DBA07" w14:textId="77777777">
        <w:tblPrEx>
          <w:tblW w:w="903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0D7C898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7DB513F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资产名称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26CB408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金额（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5E780AA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占资产净值比例（％）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6116871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38487FE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22工商银行二级03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50607E6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30,692,083.56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20DD8D42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6.39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24工行TLAC非资本债01A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30,281,339.18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6.30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26交行二级资本债01BC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30,262,416.58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6.30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24嘉兴创意MTN001(项目收益)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20,606,924.38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4.29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21九联投资PPN002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20,456,503.29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4.26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他行存款(P27M-000302)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16,648,617.11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3.46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24慈溪交通PPN001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10,400,414.93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2.16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24金坛投资MTN003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10,398,016.03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2.16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25建行二级资本债03BC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10,297,278.22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2.14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24滨江投资PPN002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10,279,712.33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2.14</w:t>
            </w:r>
          </w:p>
        </w:tc>
      </w:tr>
    </w:tbl>
    <w:p w:rsidR="00751A16" w:rsidRPr="00D04B68" w14:paraId="62789964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3" w:name="_Toc1314320214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6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报告期融资情况</w:t>
      </w:r>
      <w:bookmarkEnd w:id="13"/>
    </w:p>
    <w:p w:rsidR="00751A16" w:rsidRPr="00D04B68" w14:paraId="47A1883D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8999" w:type="dxa"/>
        <w:tblInd w:w="-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632"/>
        <w:gridCol w:w="3167"/>
        <w:gridCol w:w="2433"/>
        <w:gridCol w:w="2767"/>
      </w:tblGrid>
      <w:tr w14:paraId="35B72783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37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1AF4701E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2E7DEE3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30287A1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金额（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1BE184FA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占资产净值比例（％）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4E73AB60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682531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报告期末质押式回购余额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0BABC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6CC192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报告期末同业拆入余额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其他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</w:tbl>
    <w:p w:rsidR="00751A16" w:rsidRPr="00D04B68" w14:paraId="23C710AB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4" w:name="_Toc481074947"/>
      <w:bookmarkStart w:id="15" w:name="_Toc763043656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7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报告期末投资非标准化债权资产</w:t>
      </w:r>
      <w:bookmarkEnd w:id="14"/>
      <w:r w:rsidRPr="00D04B68">
        <w:rPr>
          <w:rFonts w:asciiTheme="minorEastAsia" w:eastAsiaTheme="minorEastAsia" w:hAnsiTheme="minorEastAsia" w:cs="仿宋" w:hint="eastAsia"/>
          <w:b/>
          <w:sz w:val="24"/>
        </w:rPr>
        <w:t>情况</w:t>
      </w:r>
      <w:bookmarkEnd w:id="15"/>
    </w:p>
    <w:p w:rsidR="00751A16" w:rsidRPr="00D04B68" w14:paraId="26D7332F" w14:textId="77777777">
      <w:pPr>
        <w:adjustRightInd w:val="0"/>
        <w:snapToGrid w:val="0"/>
        <w:spacing w:line="380" w:lineRule="exact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8994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4"/>
        <w:gridCol w:w="1330"/>
        <w:gridCol w:w="1569"/>
        <w:gridCol w:w="1041"/>
        <w:gridCol w:w="1833"/>
        <w:gridCol w:w="802"/>
        <w:gridCol w:w="970"/>
        <w:gridCol w:w="815"/>
      </w:tblGrid>
      <w:tr w14:paraId="5036B144" w14:textId="77777777">
        <w:tblPrEx>
          <w:tblW w:w="8994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8D35B5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 xml:space="preserve">序号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F647E4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融资客户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D4C9FC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项目名称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F99EA5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资产到期日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EC0A23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资产价值（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F1AF25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交易结构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7CECFF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FF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收益分配方式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40CF59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风险状况</w:t>
            </w:r>
          </w:p>
        </w:tc>
      </w:tr>
    </w:tbl>
    <w:p w:rsidR="00751A16" w:rsidRPr="00D04B68" w14:paraId="374C1A20" w14:textId="77777777">
      <w:pPr>
        <w:adjustRightInd w:val="0"/>
        <w:snapToGrid w:val="0"/>
        <w:spacing w:line="380" w:lineRule="exact"/>
        <w:rPr>
          <w:rFonts w:asciiTheme="minorEastAsia" w:eastAsiaTheme="minorEastAsia" w:hAnsiTheme="minorEastAsia" w:cs="仿宋" w:hint="eastAsia"/>
          <w:color w:val="0000FF"/>
          <w:kern w:val="0"/>
          <w:sz w:val="24"/>
          <w:highlight w:val="yellow"/>
        </w:rPr>
      </w:pPr>
    </w:p>
    <w:p w:rsidR="00751A16" w:rsidRPr="00D04B68" w14:paraId="7D93081A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6" w:name="_Toc1849870155"/>
      <w:r w:rsidRPr="00D04B68">
        <w:rPr>
          <w:rFonts w:asciiTheme="minorEastAsia" w:eastAsiaTheme="minorEastAsia" w:hAnsiTheme="minorEastAsia" w:cs="仿宋" w:hint="eastAsia"/>
          <w:sz w:val="24"/>
        </w:rPr>
        <w:t>§5 产品份额变动</w:t>
      </w:r>
      <w:bookmarkEnd w:id="16"/>
    </w:p>
    <w:p w:rsidR="00751A16" w:rsidRPr="00D04B68" w14:paraId="0CAABC6B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单位：份</w:t>
      </w:r>
    </w:p>
    <w:tbl>
      <w:tblPr>
        <w:tblW w:w="8987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1"/>
        <w:gridCol w:w="4596"/>
      </w:tblGrid>
      <w:tr w14:paraId="45B54B19" w14:textId="77777777">
        <w:tblPrEx>
          <w:tblW w:w="8987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0D0B08CD" w14:textId="77777777">
            <w:pPr>
              <w:adjustRightInd w:val="0"/>
              <w:snapToGrid w:val="0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报告期期初产品份额总额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7B5D4F3A" w14:textId="7777777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492,898,232.34</w:t>
            </w:r>
          </w:p>
        </w:tc>
      </w:tr>
      <w:tr w14:paraId="70DE06BA" w14:textId="77777777">
        <w:tblPrEx>
          <w:tblW w:w="8987" w:type="dxa"/>
          <w:tblInd w:w="79" w:type="dxa"/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570ECEA1" w14:textId="77777777">
            <w:pPr>
              <w:adjustRightInd w:val="0"/>
              <w:snapToGrid w:val="0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报告期期末产品份额总额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6E19DA71" w14:textId="7777777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394,066,563.39</w:t>
            </w:r>
          </w:p>
        </w:tc>
      </w:tr>
    </w:tbl>
    <w:p w:rsidR="00751A16" w:rsidRPr="00D04B68" w14:paraId="10B4FA25" w14:textId="77777777">
      <w:pPr>
        <w:widowControl/>
        <w:adjustRightInd w:val="0"/>
        <w:snapToGrid w:val="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09ED1890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7" w:name="_Toc1646937466"/>
      <w:r w:rsidRPr="00D04B68">
        <w:rPr>
          <w:rFonts w:asciiTheme="minorEastAsia" w:eastAsiaTheme="minorEastAsia" w:hAnsiTheme="minorEastAsia" w:cs="仿宋" w:hint="eastAsia"/>
          <w:sz w:val="24"/>
        </w:rPr>
        <w:t>§6 托管人报告</w:t>
      </w:r>
      <w:bookmarkEnd w:id="17"/>
    </w:p>
    <w:p w:rsidR="00751A16" w:rsidRPr="00D04B68" w14:paraId="67D40BD9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本报告期内，</w:t>
      </w:r>
      <w:r>
        <w:rPr>
          <w:sz w:val="24"/>
        </w:rPr>
        <w:t>杭州银行股份有限公司</w:t>
      </w:r>
      <w:r w:rsidRPr="00D04B68">
        <w:rPr>
          <w:rFonts w:asciiTheme="minorEastAsia" w:eastAsiaTheme="minorEastAsia" w:hAnsiTheme="minorEastAsia" w:cs="仿宋" w:hint="eastAsia"/>
          <w:sz w:val="24"/>
        </w:rPr>
        <w:t>（以下简称“本托管人”）在对本产品的托管过程中，严格遵守了《关于规范金融机构资产管理业务的指导意见》《商业银行理财业务监督管理办法》《商业银行理财子公司管理办法》等相关法律法规、托管协议的规定，依法安全保管了本产品的全部资产，对本产品的投资运作进行了认真、独立的会计核算和必要的投资监督，没有从事任何损害产品份额持有人利益的行为，诚实信用、勤勉尽责地履行了托管人应尽的义务。</w:t>
      </w:r>
    </w:p>
    <w:p w:rsidR="00751A16" w:rsidRPr="00D04B68" w14:paraId="4CD7853C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本托管人复核了本产品报告中的财务指标、净值表现和投资组合报告等内容。经复核，本产品报告中披露的理财产品财务数据核对一致。</w:t>
      </w:r>
    </w:p>
    <w:p w:rsidR="00751A16" w:rsidRPr="00D04B68" w14:paraId="031F1CE0" w14:textId="77777777">
      <w:pPr>
        <w:adjustRightInd w:val="0"/>
        <w:snapToGrid w:val="0"/>
        <w:rPr>
          <w:rFonts w:asciiTheme="minorEastAsia" w:eastAsiaTheme="minorEastAsia" w:hAnsiTheme="minorEastAsia" w:cs="仿宋" w:hint="eastAsia"/>
          <w:bCs/>
          <w:sz w:val="24"/>
        </w:rPr>
      </w:pPr>
    </w:p>
    <w:p w:rsidR="00751A16" w:rsidRPr="00D04B68" w14:paraId="5BA37B31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8" w:name="_Toc1161264879"/>
      <w:r w:rsidRPr="00D04B68">
        <w:rPr>
          <w:rFonts w:asciiTheme="minorEastAsia" w:eastAsiaTheme="minorEastAsia" w:hAnsiTheme="minorEastAsia" w:cs="仿宋" w:hint="eastAsia"/>
          <w:sz w:val="24"/>
        </w:rPr>
        <w:t>§7 报告期内关联交易情况</w:t>
      </w:r>
      <w:bookmarkEnd w:id="18"/>
    </w:p>
    <w:p w:rsidR="00751A16" w:rsidRPr="00D04B68" w14:paraId="29B9DB06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9" w:name="_Toc1047437417"/>
      <w:r w:rsidRPr="00D04B68">
        <w:rPr>
          <w:rFonts w:asciiTheme="minorEastAsia" w:eastAsiaTheme="minorEastAsia" w:hAnsiTheme="minorEastAsia" w:cs="仿宋" w:hint="eastAsia"/>
          <w:b/>
          <w:sz w:val="24"/>
        </w:rPr>
        <w:t>7.1 产品投资于关联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方发行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或承销的证券、资产管理产品，或其他关联交易</w:t>
      </w:r>
      <w:bookmarkEnd w:id="19"/>
    </w:p>
    <w:p w:rsidR="00751A16" w:rsidRPr="00D04B68" w14:paraId="5A1445F3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b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元</w:t>
      </w:r>
      <w:r>
        <w:rPr>
          <w:sz w:val="24"/>
        </w:rPr>
        <w:t>、份</w:t>
      </w:r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34"/>
        <w:gridCol w:w="1605"/>
        <w:gridCol w:w="1401"/>
        <w:gridCol w:w="791"/>
        <w:gridCol w:w="754"/>
        <w:gridCol w:w="1904"/>
        <w:gridCol w:w="1905"/>
      </w:tblGrid>
      <w:tr w14:paraId="4DF4C845" w14:textId="77777777">
        <w:tblPrEx>
          <w:tblW w:w="8994" w:type="dxa"/>
          <w:tblInd w:w="67" w:type="dxa"/>
          <w:tblLayout w:type="fixed"/>
          <w:tblLook w:val="04A0"/>
        </w:tblPrEx>
        <w:trPr>
          <w:trHeight w:val="90"/>
        </w:trPr>
        <w:tc>
          <w:tcPr>
            <w:tcW w:w="634" w:type="dxa"/>
            <w:vAlign w:val="center"/>
          </w:tcPr>
          <w:p w:rsidR="00751A16" w:rsidRPr="00D04B68" w14:paraId="56CC742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605" w:type="dxa"/>
            <w:vAlign w:val="center"/>
          </w:tcPr>
          <w:p w:rsidR="00751A16" w:rsidRPr="00D04B68" w14:paraId="7C903C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1401" w:type="dxa"/>
            <w:vAlign w:val="center"/>
          </w:tcPr>
          <w:p w:rsidR="00751A16" w:rsidRPr="00D04B68" w14:paraId="445BC62A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资产名称</w:t>
            </w:r>
          </w:p>
        </w:tc>
        <w:tc>
          <w:tcPr>
            <w:tcW w:w="791" w:type="dxa"/>
            <w:vAlign w:val="center"/>
          </w:tcPr>
          <w:p w:rsidR="00751A16" w:rsidRPr="00D04B68" w14:paraId="0FCE093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资产类型</w:t>
            </w:r>
          </w:p>
        </w:tc>
        <w:tc>
          <w:tcPr>
            <w:tcW w:w="754" w:type="dxa"/>
            <w:vAlign w:val="center"/>
          </w:tcPr>
          <w:p w:rsidR="00751A16" w:rsidRPr="00D04B68" w14:paraId="6E4408D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交易类型</w:t>
            </w:r>
          </w:p>
        </w:tc>
        <w:tc>
          <w:tcPr>
            <w:tcW w:w="1904" w:type="dxa"/>
            <w:vAlign w:val="center"/>
          </w:tcPr>
          <w:p w:rsidR="00751A16" w:rsidRPr="00D04B68" w14:paraId="431366E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交易金额（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905" w:type="dxa"/>
            <w:vAlign w:val="center"/>
          </w:tcPr>
          <w:p w:rsidR="00751A16" w:rsidRPr="00D04B68" w14:paraId="5A60C86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份额</w:t>
            </w:r>
          </w:p>
        </w:tc>
      </w:tr>
    </w:tbl>
    <w:p w:rsidR="00751A16" w:rsidRPr="00D04B68" w14:paraId="6D343DA2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20" w:name="_Toc1357213060"/>
      <w:r w:rsidRPr="00D04B68">
        <w:rPr>
          <w:rFonts w:asciiTheme="minorEastAsia" w:eastAsiaTheme="minorEastAsia" w:hAnsiTheme="minorEastAsia" w:cs="仿宋" w:hint="eastAsia"/>
          <w:b/>
          <w:sz w:val="24"/>
        </w:rPr>
        <w:t>7.2 产品向关联方支付的费用</w:t>
      </w:r>
      <w:bookmarkEnd w:id="20"/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94"/>
        <w:gridCol w:w="2958"/>
        <w:gridCol w:w="2202"/>
        <w:gridCol w:w="3140"/>
      </w:tblGrid>
      <w:tr w14:paraId="4BB5BF16" w14:textId="77777777">
        <w:tblPrEx>
          <w:tblW w:w="8994" w:type="dxa"/>
          <w:tblInd w:w="67" w:type="dxa"/>
          <w:tblLayout w:type="fixed"/>
          <w:tblLook w:val="04A0"/>
        </w:tblPrEx>
        <w:tc>
          <w:tcPr>
            <w:tcW w:w="694" w:type="dxa"/>
          </w:tcPr>
          <w:p w:rsidR="00751A16" w:rsidRPr="00D04B68" w14:paraId="082D570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958" w:type="dxa"/>
            <w:vAlign w:val="center"/>
          </w:tcPr>
          <w:p w:rsidR="00751A16" w:rsidRPr="00D04B68" w14:paraId="4E7086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2202" w:type="dxa"/>
            <w:vAlign w:val="center"/>
          </w:tcPr>
          <w:p w:rsidR="00751A16" w:rsidRPr="00D04B68" w14:paraId="4DD2964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费用类型</w:t>
            </w:r>
          </w:p>
        </w:tc>
        <w:tc>
          <w:tcPr>
            <w:tcW w:w="3140" w:type="dxa"/>
            <w:vAlign w:val="center"/>
          </w:tcPr>
          <w:p w:rsidR="00751A16" w:rsidRPr="00D04B68" w14:paraId="22DB220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交易金额（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</w:tr>
      <w:tr w14:paraId="6F8B5A64" w14:textId="77777777">
        <w:tblPrEx>
          <w:tblW w:w="8994" w:type="dxa"/>
          <w:tblInd w:w="67" w:type="dxa"/>
          <w:tblLayout w:type="fixed"/>
          <w:tblLook w:val="04A0"/>
        </w:tblPrEx>
        <w:trPr>
          <w:trHeight w:val="187"/>
        </w:trPr>
        <w:tc>
          <w:tcPr>
            <w:tcW w:w="694" w:type="dxa"/>
          </w:tcPr>
          <w:p w:rsidR="00751A16" w:rsidRPr="00D04B68" w14:paraId="1670869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958" w:type="dxa"/>
            <w:vAlign w:val="center"/>
          </w:tcPr>
          <w:p w:rsidR="00751A16" w:rsidRPr="00D04B68" w14:paraId="75E7E8E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杭州银行股份有限公司</w:t>
            </w:r>
          </w:p>
        </w:tc>
        <w:tc>
          <w:tcPr>
            <w:tcW w:w="2202" w:type="dxa"/>
            <w:vAlign w:val="center"/>
          </w:tcPr>
          <w:p w:rsidR="00751A16" w:rsidRPr="00D04B68" w14:paraId="5CDFD464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托管费</w:t>
            </w:r>
          </w:p>
        </w:tc>
        <w:tc>
          <w:tcPr>
            <w:tcW w:w="3140" w:type="dxa"/>
            <w:vAlign w:val="center"/>
          </w:tcPr>
          <w:p w:rsidR="00751A16" w:rsidRPr="00D04B68" w14:paraId="11E3E9C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77,326.74</w:t>
            </w:r>
          </w:p>
        </w:tc>
      </w:tr>
    </w:tbl>
    <w:p w:rsidR="00751A16" w:rsidRPr="00D04B68" w14:paraId="5017A0E5" w14:textId="77777777">
      <w:pPr>
        <w:widowControl/>
        <w:adjustRightInd w:val="0"/>
        <w:snapToGrid w:val="0"/>
        <w:ind w:firstLine="480" w:firstLineChars="20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358440B1" w14:textId="77777777">
      <w:pPr>
        <w:pStyle w:val="Heading2"/>
        <w:adjustRightInd w:val="0"/>
        <w:snapToGrid w:val="0"/>
        <w:spacing w:line="560" w:lineRule="atLeast"/>
        <w:jc w:val="center"/>
        <w:rPr>
          <w:rFonts w:asciiTheme="minorEastAsia" w:eastAsiaTheme="minorEastAsia" w:hAnsiTheme="minorEastAsia" w:cs="仿宋" w:hint="eastAsia"/>
          <w:bCs/>
          <w:sz w:val="24"/>
        </w:rPr>
      </w:pPr>
      <w:bookmarkStart w:id="21" w:name="_Toc108600986"/>
      <w:r w:rsidRPr="00D04B68">
        <w:rPr>
          <w:rFonts w:asciiTheme="minorEastAsia" w:eastAsiaTheme="minorEastAsia" w:hAnsiTheme="minorEastAsia" w:cs="仿宋" w:hint="eastAsia"/>
          <w:bCs/>
          <w:sz w:val="24"/>
        </w:rPr>
        <w:t>§</w:t>
      </w:r>
      <w:r w:rsidRPr="00D04B68">
        <w:rPr>
          <w:rFonts w:asciiTheme="minorEastAsia" w:eastAsiaTheme="minorEastAsia" w:hAnsiTheme="minorEastAsia" w:cs="仿宋"/>
          <w:bCs/>
          <w:sz w:val="24"/>
        </w:rPr>
        <w:t>8</w:t>
      </w:r>
      <w:r w:rsidRPr="00D04B68">
        <w:rPr>
          <w:rFonts w:asciiTheme="minorEastAsia" w:eastAsiaTheme="minorEastAsia" w:hAnsiTheme="minorEastAsia" w:cs="仿宋" w:hint="eastAsia"/>
          <w:bCs/>
          <w:sz w:val="24"/>
        </w:rPr>
        <w:t xml:space="preserve"> 投资账户信息</w:t>
      </w:r>
      <w:bookmarkEnd w:id="21"/>
    </w:p>
    <w:p w:rsidR="00751A16" w:rsidRPr="00D04B68" w14:paraId="2DB2956D" w14:textId="77777777">
      <w:pPr>
        <w:rPr>
          <w:rFonts w:asciiTheme="minorEastAsia" w:eastAsiaTheme="minorEastAsia" w:hAnsiTheme="minorEastAsia" w:hint="eastAsia"/>
        </w:rPr>
      </w:pPr>
    </w:p>
    <w:tbl>
      <w:tblPr>
        <w:tblStyle w:val="TableGrid"/>
        <w:tblW w:w="8983" w:type="dxa"/>
        <w:tblInd w:w="65" w:type="dxa"/>
        <w:tblLayout w:type="fixed"/>
        <w:tblLook w:val="04A0"/>
      </w:tblPr>
      <w:tblGrid>
        <w:gridCol w:w="2487"/>
        <w:gridCol w:w="6496"/>
      </w:tblGrid>
      <w:tr w14:paraId="1DD1AF4F" w14:textId="77777777">
        <w:tblPrEx>
          <w:tblW w:w="8983" w:type="dxa"/>
          <w:tblInd w:w="65" w:type="dxa"/>
          <w:tblLayout w:type="fixed"/>
          <w:tblLook w:val="04A0"/>
        </w:tblPrEx>
        <w:trPr>
          <w:trHeight w:val="216"/>
        </w:trPr>
        <w:tc>
          <w:tcPr>
            <w:tcW w:w="2487" w:type="dxa"/>
          </w:tcPr>
          <w:p w:rsidR="00751A16" w:rsidRPr="00D04B68" w14:paraId="371B493F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户名</w:t>
            </w:r>
          </w:p>
        </w:tc>
        <w:tc>
          <w:tcPr>
            <w:tcW w:w="6496" w:type="dxa"/>
          </w:tcPr>
          <w:p w:rsidR="00751A16" w:rsidRPr="00D04B68" w14:paraId="2CD5B6C7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杭银理财有限责任公司幸福99半年添益第2009期</w:t>
            </w:r>
          </w:p>
        </w:tc>
      </w:tr>
      <w:tr w14:paraId="667E95AC" w14:textId="77777777">
        <w:tblPrEx>
          <w:tblW w:w="8983" w:type="dxa"/>
          <w:tblInd w:w="65" w:type="dxa"/>
          <w:tblLayout w:type="fixed"/>
          <w:tblLook w:val="04A0"/>
        </w:tblPrEx>
        <w:trPr>
          <w:trHeight w:val="179"/>
        </w:trPr>
        <w:tc>
          <w:tcPr>
            <w:tcW w:w="2487" w:type="dxa"/>
          </w:tcPr>
          <w:p w:rsidR="00751A16" w:rsidRPr="00D04B68" w14:paraId="103F3A53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账号</w:t>
            </w:r>
          </w:p>
        </w:tc>
        <w:tc>
          <w:tcPr>
            <w:tcW w:w="6496" w:type="dxa"/>
          </w:tcPr>
          <w:p w:rsidR="00751A16" w:rsidRPr="00D04B68" w14:paraId="64AD46B6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3301040160015309811-332009</w:t>
            </w:r>
          </w:p>
        </w:tc>
      </w:tr>
      <w:tr w14:paraId="0630AE46" w14:textId="77777777">
        <w:tblPrEx>
          <w:tblW w:w="8983" w:type="dxa"/>
          <w:tblInd w:w="65" w:type="dxa"/>
          <w:tblLayout w:type="fixed"/>
          <w:tblLook w:val="04A0"/>
        </w:tblPrEx>
        <w:trPr>
          <w:trHeight w:val="163"/>
        </w:trPr>
        <w:tc>
          <w:tcPr>
            <w:tcW w:w="2487" w:type="dxa"/>
          </w:tcPr>
          <w:p w:rsidR="00751A16" w:rsidRPr="00D04B68" w14:paraId="2140D45B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开户行</w:t>
            </w:r>
          </w:p>
        </w:tc>
        <w:tc>
          <w:tcPr>
            <w:tcW w:w="6496" w:type="dxa"/>
          </w:tcPr>
          <w:p w:rsidR="00751A16" w:rsidRPr="00D04B68" w14:paraId="4F1F7DFA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杭州银行总行营业部</w:t>
            </w:r>
          </w:p>
        </w:tc>
      </w:tr>
    </w:tbl>
    <w:p w:rsidR="00751A16" w:rsidRPr="00D04B68" w14:paraId="149A6DBA" w14:textId="77777777">
      <w:pPr>
        <w:widowControl/>
        <w:adjustRightInd w:val="0"/>
        <w:snapToGrid w:val="0"/>
        <w:ind w:firstLine="480" w:firstLineChars="20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03703830" w14:textId="77777777">
      <w:pPr>
        <w:ind w:left="360"/>
        <w:jc w:val="right"/>
        <w:rPr>
          <w:rFonts w:asciiTheme="minorEastAsia" w:eastAsiaTheme="minorEastAsia" w:hAnsiTheme="minorEastAsia" w:cs="仿宋" w:hint="eastAsia"/>
          <w:sz w:val="24"/>
        </w:rPr>
      </w:pPr>
    </w:p>
    <w:p w:rsidR="00751A16" w:rsidRPr="00D04B68" w14:paraId="03284516" w14:textId="77777777">
      <w:pPr>
        <w:ind w:left="36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杭银理财</w:t>
      </w:r>
      <w:r w:rsidRPr="00D04B68">
        <w:rPr>
          <w:rFonts w:asciiTheme="minorEastAsia" w:eastAsiaTheme="minorEastAsia" w:hAnsiTheme="minorEastAsia" w:cs="仿宋" w:hint="eastAsia"/>
          <w:sz w:val="24"/>
        </w:rPr>
        <w:t>有限责任公司</w:t>
      </w:r>
    </w:p>
    <w:p w:rsidR="00751A16" w:rsidRPr="00C7299D" w:rsidP="00C7299D" w14:paraId="69E97946" w14:textId="30F8E132">
      <w:pPr>
        <w:jc w:val="right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2026年7月30日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简体">
    <w:altName w:val="微软雅黑"/>
    <w:charset w:val="86"/>
    <w:family w:val="roman"/>
    <w:pitch w:val="default"/>
    <w:sig w:usb0="00000000" w:usb1="00000000" w:usb2="00000000" w:usb3="00000000" w:csb0="00040000" w:csb1="00000000"/>
  </w:font>
  <w:font w:name="方正楷体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51A16" w14:paraId="3F614973" w14:textId="77777777">
    <w:pPr>
      <w:pStyle w:val="Header"/>
      <w:rPr>
        <w:rFonts w:hint="eastAsia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  <w:compatSetting w:name="differentiateMultirowTableHeaders" w:uri="http://schemas.microsoft.com/office/word" w:val="1"/>
  </w:compat>
  <w:rsids>
    <w:rsidRoot w:val="00AA1E04"/>
    <w:rsid w:val="AFAD1E65"/>
    <w:rsid w:val="B7F99B83"/>
    <w:rsid w:val="DCF872B1"/>
    <w:rsid w:val="F5F71F57"/>
    <w:rsid w:val="F6F838A1"/>
    <w:rsid w:val="F7FB3A2D"/>
    <w:rsid w:val="FF7F2273"/>
    <w:rsid w:val="FFF2E0ED"/>
    <w:rsid w:val="00017702"/>
    <w:rsid w:val="000F2819"/>
    <w:rsid w:val="00134D0D"/>
    <w:rsid w:val="00193057"/>
    <w:rsid w:val="001F6316"/>
    <w:rsid w:val="00205A23"/>
    <w:rsid w:val="00260BF6"/>
    <w:rsid w:val="002F014C"/>
    <w:rsid w:val="003D3797"/>
    <w:rsid w:val="004458C8"/>
    <w:rsid w:val="00461C5A"/>
    <w:rsid w:val="00475B00"/>
    <w:rsid w:val="005C07DA"/>
    <w:rsid w:val="005F727E"/>
    <w:rsid w:val="006328B0"/>
    <w:rsid w:val="00672142"/>
    <w:rsid w:val="006C1F4E"/>
    <w:rsid w:val="006E38F7"/>
    <w:rsid w:val="006F774D"/>
    <w:rsid w:val="00751A16"/>
    <w:rsid w:val="00761119"/>
    <w:rsid w:val="007631D5"/>
    <w:rsid w:val="007D2EBE"/>
    <w:rsid w:val="007D72E4"/>
    <w:rsid w:val="00800B2E"/>
    <w:rsid w:val="00815E4F"/>
    <w:rsid w:val="0082523D"/>
    <w:rsid w:val="00886687"/>
    <w:rsid w:val="00990402"/>
    <w:rsid w:val="00A63151"/>
    <w:rsid w:val="00AA1E04"/>
    <w:rsid w:val="00AB1208"/>
    <w:rsid w:val="00B43FDA"/>
    <w:rsid w:val="00BC29D8"/>
    <w:rsid w:val="00C30F1B"/>
    <w:rsid w:val="00C7299D"/>
    <w:rsid w:val="00CA2B83"/>
    <w:rsid w:val="00CE5B30"/>
    <w:rsid w:val="00D04B68"/>
    <w:rsid w:val="00D06F63"/>
    <w:rsid w:val="00D47532"/>
    <w:rsid w:val="00EE58CB"/>
    <w:rsid w:val="00FB089E"/>
    <w:rsid w:val="00FC3FEB"/>
    <w:rsid w:val="0281406F"/>
    <w:rsid w:val="04F90740"/>
    <w:rsid w:val="0BA02BFF"/>
    <w:rsid w:val="0D276FB6"/>
    <w:rsid w:val="0F1B1610"/>
    <w:rsid w:val="0F467395"/>
    <w:rsid w:val="11B304D2"/>
    <w:rsid w:val="134F425C"/>
    <w:rsid w:val="18306633"/>
    <w:rsid w:val="1B00023D"/>
    <w:rsid w:val="1EBA48BA"/>
    <w:rsid w:val="1F1B4E17"/>
    <w:rsid w:val="24474193"/>
    <w:rsid w:val="308B2C34"/>
    <w:rsid w:val="35CE5CC4"/>
    <w:rsid w:val="3DA52D7D"/>
    <w:rsid w:val="41377245"/>
    <w:rsid w:val="41DC4D17"/>
    <w:rsid w:val="430638E4"/>
    <w:rsid w:val="44D92303"/>
    <w:rsid w:val="455F2458"/>
    <w:rsid w:val="47DE7A2F"/>
    <w:rsid w:val="48D23207"/>
    <w:rsid w:val="4D1E00DE"/>
    <w:rsid w:val="4DEBD764"/>
    <w:rsid w:val="4FB86BC8"/>
    <w:rsid w:val="4FC34482"/>
    <w:rsid w:val="50895907"/>
    <w:rsid w:val="510B520C"/>
    <w:rsid w:val="51D66B08"/>
    <w:rsid w:val="52C05AE2"/>
    <w:rsid w:val="53197A4B"/>
    <w:rsid w:val="5A5A130E"/>
    <w:rsid w:val="5C722391"/>
    <w:rsid w:val="6087643C"/>
    <w:rsid w:val="6283238F"/>
    <w:rsid w:val="67146183"/>
    <w:rsid w:val="67272BEB"/>
    <w:rsid w:val="6BD40231"/>
    <w:rsid w:val="70496C0D"/>
    <w:rsid w:val="707D02CF"/>
    <w:rsid w:val="77A17847"/>
    <w:rsid w:val="7A9E1EC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A8F283C"/>
  <w15:docId w15:val="{1D255A89-98F8-4063-871F-86820E95D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2">
    <w:name w:val="heading 2"/>
    <w:basedOn w:val="Normal"/>
    <w:next w:val="Normal"/>
    <w:link w:val="2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link w:val="3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a1"/>
    <w:unhideWhenUsed/>
    <w:qFormat/>
    <w:pPr>
      <w:spacing w:after="120"/>
    </w:pPr>
    <w:rPr>
      <w:rFonts w:ascii="Times New Roman" w:eastAsia="方正仿宋简体" w:hAnsi="Times New Roman"/>
      <w:sz w:val="32"/>
      <w:szCs w:val="20"/>
    </w:rPr>
  </w:style>
  <w:style w:type="paragraph" w:styleId="TOC3">
    <w:name w:val="toc 3"/>
    <w:basedOn w:val="Normal"/>
    <w:next w:val="Normal"/>
    <w:uiPriority w:val="39"/>
    <w:unhideWhenUsed/>
    <w:qFormat/>
    <w:pPr>
      <w:ind w:left="840" w:leftChars="400"/>
    </w:pPr>
  </w:style>
  <w:style w:type="paragraph" w:styleId="BalloonText">
    <w:name w:val="Balloon Text"/>
    <w:basedOn w:val="Normal"/>
    <w:link w:val="a0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link w:val="a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TOC2">
    <w:name w:val="toc 2"/>
    <w:basedOn w:val="Normal"/>
    <w:next w:val="Normal"/>
    <w:uiPriority w:val="39"/>
    <w:unhideWhenUsed/>
    <w:qFormat/>
    <w:pPr>
      <w:ind w:left="420" w:leftChars="200"/>
    </w:pPr>
  </w:style>
  <w:style w:type="paragraph" w:styleId="NormalWeb">
    <w:name w:val="Normal (Web)"/>
    <w:basedOn w:val="Normal"/>
    <w:unhideWhenUsed/>
    <w:qFormat/>
    <w:pPr>
      <w:widowControl/>
      <w:spacing w:before="100" w:beforeAutospacing="1" w:after="100" w:afterAutospacing="1"/>
    </w:pPr>
    <w:rPr>
      <w:rFonts w:ascii="宋体" w:eastAsia="宋体" w:hAnsi="宋体"/>
      <w:kern w:val="0"/>
      <w:sz w:val="24"/>
      <w:szCs w:val="20"/>
    </w:rPr>
  </w:style>
  <w:style w:type="table" w:styleId="TableGrid">
    <w:name w:val="Table Grid"/>
    <w:basedOn w:val="TableNormal"/>
    <w:unhideWhenUsed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">
    <w:name w:val="页眉 字符"/>
    <w:basedOn w:val="DefaultParagraphFont"/>
    <w:link w:val="Header"/>
    <w:qFormat/>
    <w:rPr>
      <w:sz w:val="18"/>
    </w:rPr>
  </w:style>
  <w:style w:type="character" w:customStyle="1" w:styleId="3">
    <w:name w:val="标题 3 字符"/>
    <w:basedOn w:val="DefaultParagraphFont"/>
    <w:link w:val="Heading3"/>
    <w:qFormat/>
    <w:rPr>
      <w:rFonts w:ascii="Times New Roman" w:eastAsia="宋体" w:hAnsi="Times New Roman"/>
      <w:b/>
    </w:rPr>
  </w:style>
  <w:style w:type="character" w:customStyle="1" w:styleId="a0">
    <w:name w:val="批注框文本 字符"/>
    <w:basedOn w:val="DefaultParagraphFont"/>
    <w:link w:val="BalloonText"/>
    <w:uiPriority w:val="99"/>
    <w:semiHidden/>
    <w:qFormat/>
    <w:rPr>
      <w:kern w:val="2"/>
      <w:sz w:val="18"/>
      <w:szCs w:val="18"/>
    </w:rPr>
  </w:style>
  <w:style w:type="character" w:customStyle="1" w:styleId="a1">
    <w:name w:val="正文文本 字符"/>
    <w:basedOn w:val="DefaultParagraphFont"/>
    <w:link w:val="BodyText"/>
    <w:qFormat/>
    <w:rPr>
      <w:rFonts w:ascii="Times New Roman" w:eastAsia="方正仿宋简体" w:hAnsi="Times New Roman" w:cs="Times New Roman"/>
      <w:sz w:val="32"/>
      <w:szCs w:val="20"/>
    </w:rPr>
  </w:style>
  <w:style w:type="character" w:customStyle="1" w:styleId="2">
    <w:name w:val="标题 2 字符"/>
    <w:basedOn w:val="DefaultParagraphFont"/>
    <w:link w:val="Heading2"/>
    <w:qFormat/>
    <w:rPr>
      <w:rFonts w:ascii="Arial" w:eastAsia="宋体" w:hAnsi="Arial"/>
      <w:b/>
    </w:rPr>
  </w:style>
  <w:style w:type="character" w:customStyle="1" w:styleId="a2">
    <w:name w:val="页脚 字符"/>
    <w:basedOn w:val="DefaultParagraphFont"/>
    <w:link w:val="Footer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419</Words>
  <Characters>2392</Characters>
  <Application>Microsoft Office Word</Application>
  <DocSecurity>0</DocSecurity>
  <Lines>19</Lines>
  <Paragraphs>5</Paragraphs>
  <ScaleCrop>false</ScaleCrop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 c</dc:creator>
  <cp:lastModifiedBy>婷婷 刘</cp:lastModifiedBy>
  <cp:revision>31</cp:revision>
  <dcterms:created xsi:type="dcterms:W3CDTF">2023-04-14T06:44:00Z</dcterms:created>
  <dcterms:modified xsi:type="dcterms:W3CDTF">2026-07-27T03:05:00Z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48CAE58F88821DFB686F3364065ABE78_42</vt:lpwstr>
  </property>
  <property fmtid="{D5CDD505-2E9C-101B-9397-08002B2CF9AE}" pid="3" name="KSOProductBuildVer">
    <vt:lpwstr>2052-11.8.2.8411</vt:lpwstr>
  </property>
</Properties>
</file>