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杭银理财幸福99周添益2101期理财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杭银理财幸福99周添益2101期理财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TYG7D2101</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Z7002221000111</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2021年8月5日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开放式净值型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中国人民银行公布的7天通知存款利率</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4,995,853,808.11</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108.07</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4,995,853,808.11</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4,411,143,973.30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1.132552</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1.132552</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周添益2101期</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TYG7D2101</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1.132463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1.132463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4,853,545,382.50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周添益2101期B款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TYG7D2101B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1.135615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1.135615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142,308,425.61</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周添益2101期</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周添益2101期B款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2.77</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在4月至5月，市场进入流动性超宽松阶段，主要市场利率持续走低。4月DR001均值为1.23%，较上月下行8个基点；1年期商业银行（AAA级）同业存单到期收益率均值降至1.47%，较上月下行7个基点，创历史新低。一季度报告中，央行已悄然删去“降准降息”表述，表明降准降息时点可能延后。财政方面，专项债发行呈“先慢后快”态势， 6月中旬以来专项债发行明显提速，三季度有望迎来发行高峰。</w:t>
        <w:cr/>
        <w:t xml:space="preserve">    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偏短，上半年以来受信用利差小幅压缩及收益率小幅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展望2026年三季度，从7月初央行投放看，中期流动性净投放正在边际恢复。三季度货币政策将延续“适度宽松”的总基调，但边际上较二季度或出现转向——从“边际收敛”切换为“边际宽松”。</w:t>
        <w:cr/>
        <w:t xml:space="preserve">    下半年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最大， 三季度利率债供给高峰叠加滞后发行补发，净发行量将大幅高于去年同期，30年期超长国债将面临交易盘加仓不足与配置盘承接有限的供需压力。</w:t>
        <w:cr/>
        <w:t xml:space="preserve">    三季度债市大概率处于多空拉锯的震荡格局，利率债在供给冲击与配置需求之间寻求平衡，信用债则以票息收入为主、波段操作为辅。</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主要投资于货币市场工具、债券类资产及资管计划。产品所投资的货币市场工具及债券资产流动性状况良好，正常情况下能够及时变现资产，筹集资金，满足本产品的投资者赎回需求或其他支付要求。产品所投资资管计划运作规范，能够通过申赎安排满足本产品流动性需求。</w:t>
        <w:cr/>
        <w:t xml:space="preserve">    报告期内，本产品组合资产的流动性与产品的申赎安排相匹配，未发生重大流动性风险事件。管理人将继续密切关注市场变化，做好产品端现金流的跟踪与研判，通过合理安排投资品种和期限结构、监控组合资金头寸等方式，确保产品的流动性风险得到有效管理。</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10.79</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44.13</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2.76</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4.70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10.25</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17.77</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10.21</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11.84</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0.86</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20.71</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65.99</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建信荣瑞一年定期开放债券</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228,185,847.72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4.57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质押式逆回购(000027)</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203,209,590.50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存放同业 中国银行股份有限公司 1.74 2025/08/21 4196</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203,035,333.33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农银丰泽定开债券</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193,533,841.35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3.87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他行存款(JS0962-000163)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123,467,152.50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他行存款(JS0962-000029)</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114,306,538.02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华夏恒益18个月定开债券</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114,194,382.56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质押式逆回购(000047)</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100,026,301.36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质押式逆回购(000048)</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100,027,123.30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质押式逆回购(000049)</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100,027,123.30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2.00</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392,044,733.68</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7.85</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6,461,634,074.84</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4,411,143,973.30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杭银理财有限责任公司幸福99杭银理财周添益第2101期</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3301040160015309811-632101</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杭州银行股份有限公司</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