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杭银理财幸福99季添益1901期理财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杭银理财幸福99季添益1901期理财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TYG3M1901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Z7002221000272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2019年5月29日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613,521,699.18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106.28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613,521,699.18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490,431,758.53</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1.2509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1.2509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季添益1901期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1.2494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1.2494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384,483,185.07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1.2527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1.2527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137,140,801.94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91,897,712.17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季添益1901期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 年上半年债券市场整体呈现，一季度收益率整体下行，二季度收益率区间震荡下行，机构交易博弈的分段行情，长短端走势持续分化，短端依靠宽松资金面表现稳健，长端受政策预期、国内经济、通胀预期等多重因素交替，扰动波动加大。货币政策延续“适度宽松”总基调，央行在总量工具运用上仍较为克制，未实施全面降准或降息，7天逆回购利率继续维持在1.40%不变，但通过开展买断式回购、创设隔夜逆回购等工具维持流动性合理充裕。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并且通过利率债、存单、商业银行二级资本债、公募基金等把握交易机会，增厚产品收益。综合运用杠杆策略、久期策略、交易策略等，产品净值收益整体表现较好。</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利率债整体或将延续区间震荡格局，多空博弈进一步加剧，长短端行情分化逻辑或持续延续。从7月初央行投放看，中期流动性净投放正在边际恢复。三季度货币政策将延续“适度宽松”的总基调，但边际上较二季度或出现转向，从“边际收敛”切换为“边际宽松”。下半年债券市场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面临较大压力，三季度利率债供给高峰叠加滞后发行补发，净发行量将高于去年同期，超长期限国债将面临交易盘加仓动力不足与配置盘承接有限的供需压力。三季度债市大概率处于多空拉锯的震荡格局，利率债在供给冲击与配置需求之间寻求平衡，信用债则以票息收入为主、波段操作为辅。策略上，将根据产品负债、市场行情研判，调整杠杆、久期等，继续适时把握利率债、公募基金等各类资产的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0.21</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39.26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43.35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26兴业银行CD100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49,329,593.29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26中信银行CD143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39,476,262.47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25农行二级资本债04A(BC)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30,779,535.62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24格力MTN002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30,449,348.22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26交通银行CD106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29,703,731.21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26交通银行CD053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24,763,212.33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25中行二级资本债02BC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20,531,892.88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20,372,050.41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26中信银行CD152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19,800,994.87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19龙游国资债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10,615,822.60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38,001,769.86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6.19</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594,968,130.95</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490,431,758.53</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89,776.30</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杭银理财有限责任公司幸福99季添益开放式第1901期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3301040160015309811-351901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