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杭银理财幸福99季添益1903期理财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杭银理财幸福99季添益1903期理财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TYG3M1903</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Z7002221000274</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2019年6月12日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631,822,337.82</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106.73</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631,822,337.82</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507,674,136.34</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1.2445</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1.2445</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季添益1903期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1.2431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1.2431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417,360,044.74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季添益1903期B款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1.2464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1.2464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106,422,238.85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季添益1903期C款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108,040,054.23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季添益1903期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季添益1903期B款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季添益1903期C款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3.52</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 年上半年债券市场整体呈现，一季度收益率整体下行，二季度收益率区间震荡下行，机构交易博弈的分段行情，长短端走势持续分化，短端依靠宽松资金面表现稳健，长端受政策预期、国内经济、通胀预期等多重因素交替，扰动波动加大。货币政策延续“适度宽松”总基调，央行在总量工具运用上仍较为克制，未实施全面降准或降息，7天逆回购利率继续维持在1.40%不变，但通过开展买断式回购、创设隔夜逆回购等工具维持流动性合理充裕。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并且通过利率债、存单、商业银行二级资本债、公募基金等把握交易机会，增厚产品收益。综合运用杠杆策略、久期策略、交易策略等，产品净值收益整体表现较好。</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利率债整体或将延续区间震荡格局，多空博弈进一步加剧，长短端行情分化逻辑或持续延续。从7月初央行投放看，中期流动性净投放正在边际恢复。三季度货币政策将延续“适度宽松”的总基调，但边际上较二季度或出现转向，从“边际收敛”切换为“边际宽松”。下半年债券市场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面临较大压力，三季度利率债供给高峰叠加滞后发行补发，净发行量将高于去年同期，超长期限国债将面临交易盘加仓动力不足与配置盘承接有限的供需压力。三季度债市大概率处于多空拉锯的震荡格局，利率债在供给冲击与配置需求之间寻求平衡，信用债则以票息收入为主、波段操作为辅。策略上，将根据产品负债、市场行情研判，调整杠杆、久期等，继续适时把握利率债、公募基金等各类资产的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3.59</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21.24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46.27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64.05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26建设银行CD153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44,377,710.41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41,189,112.88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26兴业银行CD100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39,463,674.63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25农行二级资本债03A(BC)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30,946,137.53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23余杭城投PPN005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30,858,885.21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21安吉两山PPN001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30,722,879.18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26交通银行CD053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29,715,854.79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26中信银行CD152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29,701,492.31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25农行二级资本债04A(BC)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20,519,690.41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22奉化城投PPN002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20,501,305.48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42,001,956.16</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6.65</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630,806,073.07</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507,674,136.34</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94,598.66</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杭银理财有限责任公司幸福99季添益开放式第1903期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3301040160015309811-351903</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