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杭银理财幸福99季添益1904期理财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杭银理财幸福99季添益1904期理财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TYG3M1904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Z7002221000275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2019年6月19日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684,448,436.71</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104.90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684,448,436.71</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547,636,821.89</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1.2498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1.2498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季添益1904期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1.2483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446,328,852.93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125,482,036.48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季添益1904期C款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112,637,547.30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季添益1904期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季添益1904期C款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3.60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 年上半年债券市场整体呈现，一季度收益率整体下行，二季度收益率区间震荡下行，机构交易博弈的分段行情，长短端走势持续分化，短端依靠宽松资金面表现稳健，长端受政策预期、国内经济、通胀预期等多重因素交替，扰动波动加大。货币政策延续“适度宽松”总基调，央行在总量工具运用上仍较为克制，未实施全面降准或降息，7天逆回购利率继续维持在1.40%不变，但通过开展买断式回购、创设隔夜逆回购等工具维持流动性合理充裕。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并且通过利率债、存单、商业银行二级资本债、公募基金等把握交易机会，增厚产品收益。综合运用杠杆策略、久期策略、交易策略等，产品净值收益整体表现较好。</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利率债整体或将延续区间震荡格局，多空博弈进一步加剧，长短端行情分化逻辑或持续延续。从7月初央行投放看，中期流动性净投放正在边际恢复。三季度货币政策将延续“适度宽松”的总基调，但边际上较二季度或出现转向，从“边际收敛”切换为“边际宽松”。下半年债券市场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面临较大压力，三季度利率债供给高峰叠加滞后发行补发，净发行量将高于去年同期，超长期限国债将面临交易盘加仓动力不足与配置盘承接有限的供需压力。三季度债市大概率处于多空拉锯的震荡格局，利率债在供给冲击与配置需求之间寻求平衡，信用债则以票息收入为主、波段操作为辅。策略上，将根据产品负债、市场行情研判，调整杠杆、久期等，继续适时把握利率债、公募基金等各类资产的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42.66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61,783,669.32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26中信银行CD152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39,601,989.74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26中信银行CD143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39,476,262.47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26兴业银行CD100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39,463,674.63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26建设银行CD079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29,652,505.32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21中浦石化GN001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20,394,810.14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24舟山高新PPN001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20,348,098.08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26交通银行CD053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19,810,569.86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26建设银行CD072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19,771,457.42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15,813,592.85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33,001,519.17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4.82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669,116,186.97</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547,636,821.89</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99,580.51</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杭银理财有限责任公司幸福99季添益开放式第1904期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3301040160015309811-351904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