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杭银理财幸福99季添益1906期理财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杭银理财幸福99季添益1906期理财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TYG3M1906</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Z7002221000277</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2019年7月3日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中国人民银行公布的1年期定期存款利率</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723,763,183.58</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104.63</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723,763,183.58</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582,761,145.11</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1.2419</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1.2419</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季添益1906期</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TYG3M1906</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1.2405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1.2405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457,369,792.14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季添益1906期B款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TYG3M1906B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1.2436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1.2436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150,169,748.63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季添益1906期C款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TYG3M1906C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1.2454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1.2454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116,223,642.81</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季添益1906期</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3.44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季添益1906期B款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3.48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季添益1906期C款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3.51</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 年上半年债券市场整体呈现，一季度收益率整体下行，二季度收益率区间震荡下行，机构交易博弈的分段行情，长短端走势持续分化，短端依靠宽松资金面表现稳健，长端受政策预期、国内经济、通胀预期等多重因素交替，扰动波动加大。货币政策延续“适度宽松”总基调，央行在总量工具运用上仍较为克制，未实施全面降准或降息，7天逆回购利率继续维持在1.40%不变，但通过开展买断式回购、创设隔夜逆回购等工具维持流动性合理充裕。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并且通过利率债、存单、商业银行二级资本债、公募基金等把握交易机会，增厚产品收益。综合运用杠杆策略、久期策略、交易策略等，产品净值收益整体表现较好。</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利率债整体或将延续区间震荡格局，多空博弈进一步加剧，长短端行情分化逻辑或持续延续。从7月初央行投放看，中期流动性净投放正在边际恢复。三季度货币政策将延续“适度宽松”的总基调，但边际上较二季度或出现转向，从“边际收敛”切换为“边际宽松”。下半年债券市场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面临较大压力，三季度利率债供给高峰叠加滞后发行补发，净发行量将高于去年同期，超长期限国债将面临交易盘加仓动力不足与配置盘承接有限的供需压力。三季度债市大概率处于多空拉锯的震荡格局，利率债在供给冲击与配置需求之间寻求平衡，信用债则以票息收入为主、波段操作为辅。策略上，将根据产品负债、市场行情研判，调整杠杆、久期等，继续适时把握利率债、公募基金等各类资产的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固定收益类资产（包括债券类资产、非标准化债权类资产）及权益类资产。产品所投资的债券资产流动性状况良好，所投资非标准化债权资产（如有）期限与产品单个运作周期匹配，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匹配。</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13.73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13.62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0.80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39.38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52.55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43.76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23格力MTN001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51,572,996.58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7.13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24南浔交通PPN003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30,724,271.10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26建设银行CD142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29,703,731.21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26光大银行CD012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24,785,412.26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24柯岩建设PPN003B</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20,948,174.79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25中行二级资本债03A(BC)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20,556,826.85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24即墨旅投PPN001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20,478,584.93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21拱墅城投PPN001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20,396,621.64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20,372,050.41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24西安高新PPN001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20,368,964.66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33,001,491.78</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4.56</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696,599,138.49</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582,761,145.11</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r w14:paraId="6F8B5A64" w14:textId="77777777">
        <w:tblPrEx>
          <w:tblW w:w="8994" w:type="dxa"/>
          <w:tblInd w:w="67" w:type="dxa"/>
          <w:tblLayout w:type="fixed"/>
          <w:tblLook w:val="04A0"/>
        </w:tblPrEx>
        <w:trPr>
          <w:trHeight w:val="187"/>
        </w:trPr>
        <w:tc>
          <w:tcPr>
            <w:tcW w:w="694" w:type="dxa"/>
          </w:tcPr>
          <w:p w:rsidR="00751A16" w:rsidRPr="00D04B68" w14:paraId="1670869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w:t>
            </w:r>
          </w:p>
        </w:tc>
        <w:tc>
          <w:tcPr>
            <w:tcW w:w="2958" w:type="dxa"/>
            <w:vAlign w:val="center"/>
          </w:tcPr>
          <w:p w:rsidR="00751A16" w:rsidRPr="00D04B68" w14:paraId="75E7E8ED"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杭州银行股份有限公司</w:t>
            </w:r>
          </w:p>
        </w:tc>
        <w:tc>
          <w:tcPr>
            <w:tcW w:w="2202" w:type="dxa"/>
            <w:vAlign w:val="center"/>
          </w:tcPr>
          <w:p w:rsidR="00751A16" w:rsidRPr="00D04B68" w14:paraId="5CDFD464"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托管费</w:t>
            </w:r>
          </w:p>
        </w:tc>
        <w:tc>
          <w:tcPr>
            <w:tcW w:w="3140" w:type="dxa"/>
            <w:vAlign w:val="center"/>
          </w:tcPr>
          <w:p w:rsidR="00751A16" w:rsidRPr="00D04B68" w14:paraId="11E3E9C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107,113.65</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杭银理财有限责任公司幸福99季添益开放式第1906期</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3301040160015309811-351906</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