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杭银理财幸福99季添益1908期理财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杭银理财幸福99季添益1908期理财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TYG3M1908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Z7002221000279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2019年7月17日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649,754,027.35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105.95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649,754,027.35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526,175,595.67</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1.2348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1.2348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季添益1908期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439,565,181.45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1.2367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1.2367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110,763,978.62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99,424,867.28</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季添益1908期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 年上半年债券市场整体呈现，一季度收益率整体下行，二季度收益率区间震荡下行，机构交易博弈的分段行情，长短端走势持续分化，短端依靠宽松资金面表现稳健，长端受政策预期、国内经济、通胀预期等多重因素交替，扰动波动加大。货币政策延续“适度宽松”总基调，央行在总量工具运用上仍较为克制，未实施全面降准或降息，7天逆回购利率继续维持在1.40%不变，但通过开展买断式回购、创设隔夜逆回购等工具维持流动性合理充裕。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并且通过利率债、存单、商业银行二级资本债、公募基金等把握交易机会，增厚产品收益。综合运用杠杆策略、久期策略、交易策略等，产品净值收益整体表现较好。</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利率债整体或将延续区间震荡格局，多空博弈进一步加剧，长短端行情分化逻辑或持续延续。从7月初央行投放看，中期流动性净投放正在边际恢复。三季度货币政策将延续“适度宽松”的总基调，但边际上较二季度或出现转向，从“边际收敛”切换为“边际宽松”。下半年债券市场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面临较大压力，三季度利率债供给高峰叠加滞后发行补发，净发行量将高于去年同期，超长期限国债将面临交易盘加仓动力不足与配置盘承接有限的供需压力。三季度债市大概率处于多空拉锯的震荡格局，利率债在供给冲击与配置需求之间寻求平衡，信用债则以票息收入为主、波段操作为辅。策略上，将根据产品负债、市场行情研判，调整杠杆、久期等，继续适时把握利率债、公募基金等各类资产的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55.58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23通州湾PPN001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31,031,334.25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30,891,834.66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25中行二级资本债03A(BC)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30,835,240.27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26建设银行CD153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24,654,283.56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24即墨旅投PPN001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20,478,584.93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24西安高新PPN001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20,368,964.66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24秀宏建设PPN001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20,297,380.00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26建设银行CD142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19,802,487.47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26兴业银行CD103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19,801,807.47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16,290,077.41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38,001,717.81</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5.85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645,479,163.20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526,175,595.67</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97,304.33</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杭银理财有限责任公司幸福99季添益开放式第1908期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3301040160015309811-351908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