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杭银理财幸福99季添益1911期理财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杭银理财幸福99季添益1911期理财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TYG3M1911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Z7002221000282</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2019年8月7日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827,076,791.02</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103.74</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827,076,791.02</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667,428,742.99</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1.2391</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1.2391</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季添益1911期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TYG3M1911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1.2377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1.2377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523,776,581.46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季添益1911期B款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TYG3M1911B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1.2409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1.2409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197,417,092.20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季添益1911期C款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TYG3M1911C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1.2429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1.2429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105,883,117.36</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季添益1911期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季添益1911期B款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季添益1911期C款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3.51</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 年上半年债券市场整体呈现，一季度收益率整体下行，二季度收益率区间震荡下行，机构交易博弈的分段行情，长短端走势持续分化，短端依靠宽松资金面表现稳健，长端受政策预期、国内经济、通胀预期等多重因素交替，扰动波动加大。货币政策延续“适度宽松”总基调，央行在总量工具运用上仍较为克制，未实施全面降准或降息，7天逆回购利率继续维持在1.40%不变，但通过开展买断式回购、创设隔夜逆回购等工具维持流动性合理充裕。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并且通过利率债、存单、商业银行二级资本债、公募基金等把握交易机会，增厚产品收益。综合运用杠杆策略、久期策略、交易策略等，产品净值收益整体表现较好。</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利率债整体或将延续区间震荡格局，多空博弈进一步加剧，长短端行情分化逻辑或持续延续。从7月初央行投放看，中期流动性净投放正在边际恢复。三季度货币政策将延续“适度宽松”的总基调，但边际上较二季度或出现转向，从“边际收敛”切换为“边际宽松”。下半年债券市场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面临较大压力，三季度利率债供给高峰叠加滞后发行补发，净发行量将高于去年同期，超长期限国债将面临交易盘加仓动力不足与配置盘承接有限的供需压力。三季度债市大概率处于多空拉锯的震荡格局，利率债在供给冲击与配置需求之间寻求平衡，信用债则以票息收入为主、波段操作为辅。策略上，将根据产品负债、市场行情研判，调整杠杆、久期等，继续适时把握利率债、公募基金等各类资产的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8.04</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12.13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34.87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44.85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44.96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25中行二级资本债03A(BC)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71,948,893.97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26中信银行CD025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44,636,772.33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他行存款(P27M-000302)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43,539,260.14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24沛县国资PPN004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30,570,599.59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22温港城债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30,360,018.90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他行存款(P27M-000101)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23,939,060.53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他行存款(P27M-000273)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21,715,008.62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24西安高新PPN001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20,368,964.66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24蚌埠高新PPN002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20,210,195.89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26建设银行CD142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19,802,487.47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30,001,356.15</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3.63</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732,785,666.99</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667,428,742.99</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60,605.82</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杭银理财有限责任公司幸福99季添益开放式第1911期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3301040160015309811-351911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