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杭银理财幸福99季添益1912期理财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杭银理财幸福99季添益1912期理财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TYG3M1912</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Z7002221000283</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2019年8月14日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836,890,281.37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106.21</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836,890,281.37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673,299,243.98</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1.2429</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1.2429</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季添益1912期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TYG3M1912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1.2413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1.2413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521,212,809.75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季添益1912期B款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TYG3M1912B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1.2445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1.2445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145,421,606.01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季添益1912期C款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TYG3M1912C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1.2465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1.2465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170,255,865.61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季添益1912期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季添益1912期B款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季添益1912期C款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3.58</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 年上半年债券市场整体呈现，一季度收益率整体下行，二季度收益率区间震荡下行，机构交易博弈的分段行情，长短端走势持续分化，短端依靠宽松资金面表现稳健，长端受政策预期、国内经济、通胀预期等多重因素交替，扰动波动加大。货币政策延续“适度宽松”总基调，央行在总量工具运用上仍较为克制，未实施全面降准或降息，7天逆回购利率继续维持在1.40%不变，但通过开展买断式回购、创设隔夜逆回购等工具维持流动性合理充裕。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并且通过利率债、存单、商业银行二级资本债、公募基金等把握交易机会，增厚产品收益。综合运用杠杆策略、久期策略、交易策略等，产品净值收益整体表现较好。</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利率债整体或将延续区间震荡格局，多空博弈进一步加剧，长短端行情分化逻辑或持续延续。从7月初央行投放看，中期流动性净投放正在边际恢复。三季度货币政策将延续“适度宽松”的总基调，但边际上较二季度或出现转向，从“边际收敛”切换为“边际宽松”。下半年债券市场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面临较大压力，三季度利率债供给高峰叠加滞后发行补发，净发行量将高于去年同期，超长期限国债将面临交易盘加仓动力不足与配置盘承接有限的供需压力。三季度债市大概率处于多空拉锯的震荡格局，利率债在供给冲击与配置需求之间寻求平衡，信用债则以票息收入为主、波段操作为辅。策略上，将根据产品负债、市场行情研判，调整杠杆、久期等，继续适时把握利率债、公募基金等各类资产的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7.85</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15.03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14.87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49.50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26建设银行CD143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44,553,769.29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26中信银行CD152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39,601,989.74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他行存款(P27M-000302)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38,074,411.06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25农行二级资本债03A(BC)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30,946,137.53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30,891,834.66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24武进绿建PPN001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30,657,135.21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26建设银行CD072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29,657,186.14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他行存款(P27M-000101)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20,934,338.98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24蚌埠高新PPN002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20,210,195.89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24常交通PPN002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20,208,303.56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2.41</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51,002,305.48</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6.09</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718,157,291.33</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673,299,243.98</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59,590.18</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杭银理财有限责任公司幸福99季添益开放式第1912期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3301040160015309811-351912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