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Java 22.12.0 -->
  <w:body>
    <w:p w:rsidR="006F774D" w:rsidP="006F774D" w14:paraId="607DA854" w14:textId="77777777">
      <w:pPr>
        <w:jc w:val="center"/>
        <w:rPr>
          <w:rFonts w:ascii="宋体" w:eastAsia="宋体" w:hAnsi="宋体" w:hint="eastAsia"/>
          <w:b/>
          <w:sz w:val="32"/>
          <w:szCs w:val="20"/>
        </w:rPr>
      </w:pPr>
      <w:bookmarkStart w:id="0" w:name="_Toc379618105"/>
    </w:p>
    <w:p w:rsidR="006F774D" w:rsidP="006F774D" w14:paraId="4FAF8F35" w14:textId="77777777">
      <w:pPr>
        <w:adjustRightInd w:val="0"/>
        <w:snapToGrid w:val="0"/>
        <w:spacing w:line="460" w:lineRule="exact"/>
        <w:jc w:val="center"/>
        <w:rPr>
          <w:rFonts w:ascii="Times New Roman" w:eastAsia="方正楷体简体" w:hAnsi="Times New Roman"/>
          <w:sz w:val="24"/>
        </w:rPr>
      </w:pPr>
    </w:p>
    <w:p w:rsidR="006F774D" w:rsidP="006F774D" w14:paraId="1D15C54A" w14:textId="77777777">
      <w:pPr>
        <w:rPr>
          <w:rFonts w:hint="eastAsia"/>
        </w:rPr>
      </w:pPr>
    </w:p>
    <w:p w:rsidR="006F774D" w:rsidRPr="00D04B68" w:rsidP="006F774D" w14:paraId="673E63F9" w14:textId="77777777">
      <w:pPr>
        <w:autoSpaceDE w:val="0"/>
        <w:autoSpaceDN w:val="0"/>
        <w:spacing w:before="220"/>
        <w:jc w:val="center"/>
        <w:rPr>
          <w:rFonts w:asciiTheme="majorEastAsia" w:eastAsiaTheme="majorEastAsia" w:hAnsiTheme="majorEastAsia" w:cs="仿宋_GB2312" w:hint="eastAsia"/>
          <w:b/>
          <w:kern w:val="0"/>
          <w:sz w:val="52"/>
          <w:szCs w:val="52"/>
          <w:lang w:bidi="zh-CN"/>
        </w:rPr>
      </w:pPr>
      <w:r w:rsidRPr="00D04B68">
        <w:rPr>
          <w:rFonts w:asciiTheme="majorEastAsia" w:eastAsiaTheme="majorEastAsia" w:hAnsiTheme="majorEastAsia" w:cs="仿宋_GB2312" w:hint="eastAsia"/>
          <w:b/>
          <w:kern w:val="0"/>
          <w:sz w:val="52"/>
          <w:szCs w:val="52"/>
          <w:lang w:bidi="zh-CN"/>
        </w:rPr>
        <w:t>杭银理财幸福99年添益2003期理财</w:t>
      </w:r>
    </w:p>
    <w:p w:rsidR="006F774D" w:rsidRPr="00D04B68" w:rsidP="006F774D" w14:paraId="5F8E3B38" w14:textId="77777777">
      <w:pPr>
        <w:autoSpaceDE w:val="0"/>
        <w:autoSpaceDN w:val="0"/>
        <w:spacing w:line="360" w:lineRule="auto"/>
        <w:jc w:val="center"/>
        <w:rPr>
          <w:rFonts w:asciiTheme="majorEastAsia" w:eastAsiaTheme="majorEastAsia" w:hAnsiTheme="majorEastAsia" w:cs="仿宋_GB2312" w:hint="eastAsia"/>
          <w:b/>
          <w:bCs/>
          <w:kern w:val="0"/>
          <w:sz w:val="44"/>
          <w:szCs w:val="44"/>
          <w:lang w:bidi="zh-CN"/>
        </w:rPr>
      </w:pPr>
      <w:r w:rsidRPr="00D04B68">
        <w:rPr>
          <w:rFonts w:asciiTheme="majorEastAsia" w:eastAsiaTheme="majorEastAsia" w:hAnsiTheme="majorEastAsia" w:cs="仿宋_GB2312" w:hint="eastAsia"/>
          <w:b/>
          <w:bCs/>
          <w:kern w:val="0"/>
          <w:sz w:val="44"/>
          <w:szCs w:val="44"/>
          <w:lang w:bidi="zh-CN"/>
        </w:rPr>
        <w:t>2026</w:t>
      </w:r>
      <w:r>
        <w:rPr>
          <w:b/>
          <w:sz w:val="44"/>
        </w:rPr>
        <w:t>年半年度报告</w:t>
      </w:r>
    </w:p>
    <w:p w:rsidR="006F774D" w:rsidP="006F774D" w14:paraId="6E82C588" w14:textId="77777777">
      <w:pPr>
        <w:jc w:val="center"/>
        <w:rPr>
          <w:rFonts w:ascii="宋体" w:eastAsia="宋体" w:hAnsi="宋体" w:hint="eastAsia"/>
          <w:color w:val="0000FF"/>
          <w:kern w:val="0"/>
          <w:sz w:val="18"/>
          <w:szCs w:val="20"/>
        </w:rPr>
      </w:pPr>
    </w:p>
    <w:p w:rsidR="006F774D" w:rsidP="006F774D" w14:paraId="29E0EBB8" w14:textId="77777777">
      <w:pPr>
        <w:jc w:val="center"/>
        <w:rPr>
          <w:rFonts w:ascii="Times New Roman" w:eastAsia="宋体" w:hAnsi="Times New Roman"/>
          <w:sz w:val="24"/>
        </w:rPr>
      </w:pPr>
    </w:p>
    <w:p w:rsidR="006F774D" w:rsidP="006F774D" w14:paraId="34BFA851" w14:textId="77777777">
      <w:pPr>
        <w:jc w:val="center"/>
        <w:rPr>
          <w:rFonts w:eastAsia="宋体" w:hint="eastAsia"/>
          <w:sz w:val="24"/>
        </w:rPr>
      </w:pPr>
    </w:p>
    <w:p w:rsidR="006F774D" w:rsidP="006F774D" w14:paraId="37A9074A" w14:textId="77777777">
      <w:pPr>
        <w:jc w:val="center"/>
        <w:rPr>
          <w:rFonts w:eastAsia="宋体" w:hint="eastAsia"/>
          <w:sz w:val="24"/>
        </w:rPr>
      </w:pPr>
    </w:p>
    <w:p w:rsidR="006F774D" w:rsidP="006F774D" w14:paraId="6A896FE2" w14:textId="77777777">
      <w:pPr>
        <w:jc w:val="center"/>
        <w:rPr>
          <w:rFonts w:ascii="仿宋" w:eastAsia="仿宋" w:hAnsi="仿宋" w:hint="eastAsia"/>
          <w:sz w:val="24"/>
        </w:rPr>
      </w:pPr>
    </w:p>
    <w:p w:rsidR="006F774D" w:rsidP="006F774D" w14:paraId="35960E50" w14:textId="77777777">
      <w:pPr>
        <w:jc w:val="center"/>
        <w:rPr>
          <w:rFonts w:ascii="仿宋" w:eastAsia="仿宋" w:hAnsi="仿宋" w:hint="eastAsia"/>
          <w:sz w:val="24"/>
        </w:rPr>
      </w:pPr>
    </w:p>
    <w:p w:rsidR="006F774D" w:rsidRPr="00D04B68" w:rsidP="006F774D" w14:paraId="58AFEB67" w14:textId="77777777">
      <w:pPr>
        <w:jc w:val="center"/>
        <w:rPr>
          <w:rFonts w:asciiTheme="minorEastAsia" w:eastAsiaTheme="minorEastAsia" w:hAnsiTheme="minorEastAsia" w:hint="eastAsia"/>
          <w:sz w:val="24"/>
        </w:rPr>
      </w:pPr>
      <w:r w:rsidRPr="00D04B68">
        <w:rPr>
          <w:rFonts w:asciiTheme="minorEastAsia" w:eastAsiaTheme="minorEastAsia" w:hAnsiTheme="minorEastAsia" w:hint="eastAsia"/>
          <w:sz w:val="24"/>
        </w:rPr>
        <w:t>产品管理人：</w:t>
      </w:r>
      <w:r w:rsidRPr="00D04B68">
        <w:rPr>
          <w:rFonts w:asciiTheme="minorEastAsia" w:eastAsiaTheme="minorEastAsia" w:hAnsiTheme="minorEastAsia"/>
          <w:sz w:val="24"/>
        </w:rPr>
        <w:t>杭银理财有限责任公司</w:t>
      </w:r>
    </w:p>
    <w:p w:rsidR="006F774D" w:rsidRPr="00D04B68" w:rsidP="006F774D" w14:paraId="6FE6AE2C" w14:textId="77777777">
      <w:pPr>
        <w:jc w:val="center"/>
        <w:rPr>
          <w:rFonts w:asciiTheme="minorEastAsia" w:eastAsiaTheme="minorEastAsia" w:hAnsiTheme="minorEastAsia" w:hint="eastAsia"/>
          <w:sz w:val="24"/>
        </w:rPr>
      </w:pPr>
      <w:r w:rsidRPr="00D04B68">
        <w:rPr>
          <w:rFonts w:asciiTheme="minorEastAsia" w:eastAsiaTheme="minorEastAsia" w:hAnsiTheme="minorEastAsia" w:hint="eastAsia"/>
          <w:sz w:val="24"/>
        </w:rPr>
        <w:t>产品托管人：</w:t>
      </w:r>
      <w:r w:rsidRPr="00D04B68">
        <w:rPr>
          <w:rFonts w:asciiTheme="minorEastAsia" w:eastAsiaTheme="minorEastAsia" w:hAnsiTheme="minorEastAsia"/>
          <w:sz w:val="24"/>
        </w:rPr>
        <w:t>杭州银行股份有限公司</w:t>
      </w:r>
    </w:p>
    <w:p w:rsidR="006F774D" w:rsidRPr="00D04B68" w:rsidP="006F774D" w14:paraId="7FB4D36E" w14:textId="77777777">
      <w:pPr>
        <w:jc w:val="center"/>
        <w:rPr>
          <w:rFonts w:asciiTheme="minorEastAsia" w:eastAsiaTheme="minorEastAsia" w:hAnsiTheme="minorEastAsia" w:hint="eastAsia"/>
          <w:sz w:val="24"/>
        </w:rPr>
      </w:pPr>
    </w:p>
    <w:p w:rsidR="006F774D" w:rsidRPr="00D04B68" w:rsidP="006F774D" w14:paraId="57201021" w14:textId="77777777">
      <w:pPr>
        <w:jc w:val="center"/>
        <w:rPr>
          <w:rFonts w:asciiTheme="minorEastAsia" w:eastAsiaTheme="minorEastAsia" w:hAnsiTheme="minorEastAsia" w:hint="eastAsia"/>
          <w:sz w:val="24"/>
        </w:rPr>
      </w:pPr>
    </w:p>
    <w:p w:rsidR="006F774D" w:rsidRPr="00D04B68" w:rsidP="006F774D" w14:paraId="0417B4DB" w14:textId="77777777">
      <w:pPr>
        <w:jc w:val="center"/>
        <w:rPr>
          <w:rFonts w:asciiTheme="minorEastAsia" w:eastAsiaTheme="minorEastAsia" w:hAnsiTheme="minorEastAsia" w:hint="eastAsia"/>
          <w:sz w:val="24"/>
        </w:rPr>
      </w:pPr>
    </w:p>
    <w:p w:rsidR="006F774D" w:rsidRPr="00D04B68" w:rsidP="006F774D" w14:paraId="1C81FA7F" w14:textId="77777777">
      <w:pPr>
        <w:jc w:val="center"/>
        <w:rPr>
          <w:rFonts w:asciiTheme="minorEastAsia" w:eastAsiaTheme="minorEastAsia" w:hAnsiTheme="minorEastAsia" w:hint="eastAsia"/>
          <w:sz w:val="24"/>
        </w:rPr>
      </w:pPr>
      <w:r w:rsidRPr="00D04B68">
        <w:rPr>
          <w:rFonts w:asciiTheme="minorEastAsia" w:eastAsiaTheme="minorEastAsia" w:hAnsiTheme="minorEastAsia"/>
          <w:sz w:val="24"/>
        </w:rPr>
        <w:t>2026年7月30日</w:t>
      </w:r>
    </w:p>
    <w:p w:rsidR="006F774D" w:rsidP="006F774D" w14:paraId="417391CF" w14:textId="77777777">
      <w:pPr>
        <w:jc w:val="center"/>
        <w:rPr>
          <w:rFonts w:ascii="仿宋" w:eastAsia="仿宋" w:hAnsi="仿宋" w:hint="eastAsia"/>
          <w:sz w:val="24"/>
        </w:rPr>
      </w:pPr>
    </w:p>
    <w:p w:rsidR="006F774D" w:rsidP="006F774D" w14:paraId="09AD8A78" w14:textId="77777777">
      <w:pPr>
        <w:jc w:val="center"/>
        <w:rPr>
          <w:rFonts w:ascii="仿宋" w:eastAsia="仿宋" w:hAnsi="仿宋" w:hint="eastAsia"/>
          <w:sz w:val="24"/>
        </w:rPr>
      </w:pPr>
    </w:p>
    <w:p w:rsidR="006F774D" w:rsidP="006F774D" w14:paraId="61A5D005" w14:textId="77777777">
      <w:pPr>
        <w:jc w:val="center"/>
        <w:rPr>
          <w:rFonts w:ascii="宋体" w:eastAsia="宋体" w:hAnsi="宋体" w:hint="eastAsia"/>
        </w:rPr>
      </w:pPr>
    </w:p>
    <w:p w:rsidR="006F774D" w:rsidP="006F774D" w14:paraId="312A3306" w14:textId="77777777">
      <w:pPr>
        <w:jc w:val="center"/>
        <w:rPr>
          <w:rFonts w:ascii="宋体" w:eastAsia="宋体" w:hAnsi="宋体" w:hint="eastAsia"/>
        </w:rPr>
      </w:pPr>
    </w:p>
    <w:p w:rsidR="00751A16" w:rsidRPr="00D04B68" w14:paraId="3AF4338A" w14:textId="77777777">
      <w:pPr>
        <w:pStyle w:val="Heading2"/>
        <w:adjustRightInd w:val="0"/>
        <w:snapToGrid w:val="0"/>
        <w:spacing w:line="560" w:lineRule="exact"/>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  重要提示</w:t>
      </w:r>
      <w:bookmarkEnd w:id="0"/>
    </w:p>
    <w:tbl>
      <w:tblPr>
        <w:tblW w:w="9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120"/>
      </w:tblGrid>
      <w:tr w14:paraId="47E7DF93" w14:textId="77777777">
        <w:tblPrEx>
          <w:tblW w:w="9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3141"/>
        </w:trPr>
        <w:tc>
          <w:tcPr>
            <w:tcW w:w="9120" w:type="dxa"/>
            <w:tcBorders>
              <w:top w:val="single" w:sz="4" w:space="0" w:color="auto"/>
              <w:left w:val="single" w:sz="4" w:space="0" w:color="auto"/>
              <w:bottom w:val="single" w:sz="4" w:space="0" w:color="auto"/>
              <w:right w:val="single" w:sz="4" w:space="0" w:color="auto"/>
            </w:tcBorders>
          </w:tcPr>
          <w:p w:rsidR="00751A16" w:rsidRPr="00D04B68" w14:paraId="4569FE1D" w14:textId="77777777">
            <w:pPr>
              <w:widowControl/>
              <w:adjustRightInd w:val="0"/>
              <w:snapToGrid w:val="0"/>
              <w:spacing w:line="420" w:lineRule="exact"/>
              <w:ind w:firstLine="480" w:firstLineChars="200"/>
              <w:jc w:val="left"/>
              <w:rPr>
                <w:rFonts w:asciiTheme="minorEastAsia" w:eastAsiaTheme="minorEastAsia" w:hAnsiTheme="minorEastAsia" w:cs="仿宋" w:hint="eastAsia"/>
                <w:color w:val="404040"/>
                <w:kern w:val="0"/>
                <w:sz w:val="24"/>
              </w:rPr>
            </w:pPr>
            <w:r w:rsidRPr="00D04B68">
              <w:rPr>
                <w:rFonts w:asciiTheme="minorEastAsia" w:eastAsiaTheme="minorEastAsia" w:hAnsiTheme="minorEastAsia" w:cs="仿宋" w:hint="eastAsia"/>
                <w:color w:val="404040"/>
                <w:kern w:val="0"/>
                <w:sz w:val="24"/>
              </w:rPr>
              <w:t>产品管理人承诺以诚实信用、勤勉尽责的原则管理和运用产品资产，并如实反映产品财务指标及投资组合情况，但不保证产品一定盈利。</w:t>
            </w:r>
          </w:p>
          <w:p w:rsidR="00751A16" w:rsidRPr="00D04B68" w14:paraId="0E46753B" w14:textId="77777777">
            <w:pPr>
              <w:widowControl/>
              <w:adjustRightInd w:val="0"/>
              <w:snapToGrid w:val="0"/>
              <w:spacing w:line="420" w:lineRule="exact"/>
              <w:ind w:firstLine="480" w:firstLineChars="200"/>
              <w:jc w:val="left"/>
              <w:rPr>
                <w:rFonts w:asciiTheme="minorEastAsia" w:eastAsiaTheme="minorEastAsia" w:hAnsiTheme="minorEastAsia" w:cs="仿宋" w:hint="eastAsia"/>
                <w:color w:val="404040"/>
                <w:kern w:val="0"/>
                <w:sz w:val="24"/>
              </w:rPr>
            </w:pPr>
            <w:r w:rsidRPr="00D04B68">
              <w:rPr>
                <w:rFonts w:asciiTheme="minorEastAsia" w:eastAsiaTheme="minorEastAsia" w:hAnsiTheme="minorEastAsia" w:cs="仿宋" w:hint="eastAsia"/>
                <w:color w:val="404040"/>
                <w:kern w:val="0"/>
                <w:sz w:val="24"/>
              </w:rPr>
              <w:t>产品托管人根据本</w:t>
            </w:r>
            <w:r w:rsidRPr="00D04B68">
              <w:rPr>
                <w:rFonts w:asciiTheme="minorEastAsia" w:eastAsiaTheme="minorEastAsia" w:hAnsiTheme="minorEastAsia" w:cs="仿宋" w:hint="eastAsia"/>
                <w:color w:val="000000"/>
                <w:sz w:val="24"/>
              </w:rPr>
              <w:t>产品</w:t>
            </w:r>
            <w:r w:rsidRPr="00D04B68">
              <w:rPr>
                <w:rFonts w:asciiTheme="minorEastAsia" w:eastAsiaTheme="minorEastAsia" w:hAnsiTheme="minorEastAsia" w:cs="仿宋" w:hint="eastAsia"/>
                <w:color w:val="404040"/>
                <w:kern w:val="0"/>
                <w:sz w:val="24"/>
              </w:rPr>
              <w:t>合同规定，于</w:t>
            </w:r>
            <w:r>
              <w:rPr>
                <w:color w:val="404040"/>
                <w:sz w:val="24"/>
              </w:rPr>
              <w:t>2026年6月30日</w:t>
            </w:r>
            <w:r w:rsidRPr="00D04B68">
              <w:rPr>
                <w:rFonts w:asciiTheme="minorEastAsia" w:eastAsiaTheme="minorEastAsia" w:hAnsiTheme="minorEastAsia" w:cs="仿宋" w:hint="eastAsia"/>
                <w:color w:val="404040"/>
                <w:kern w:val="0"/>
                <w:sz w:val="24"/>
              </w:rPr>
              <w:t>复核了本报告中的财务指标、净值表现和投资组合报告等内容，保证复核内容不存在虚假记载、误导性陈述或者重大遗漏。</w:t>
            </w:r>
          </w:p>
          <w:p w:rsidR="00751A16" w:rsidRPr="00D04B68" w14:paraId="400C11FB" w14:textId="77777777">
            <w:pPr>
              <w:widowControl/>
              <w:adjustRightInd w:val="0"/>
              <w:snapToGrid w:val="0"/>
              <w:spacing w:line="420" w:lineRule="exact"/>
              <w:ind w:firstLine="480" w:firstLineChars="200"/>
              <w:jc w:val="left"/>
              <w:rPr>
                <w:rFonts w:asciiTheme="minorEastAsia" w:eastAsiaTheme="minorEastAsia" w:hAnsiTheme="minorEastAsia" w:cs="仿宋" w:hint="eastAsia"/>
                <w:color w:val="404040"/>
                <w:kern w:val="0"/>
                <w:sz w:val="24"/>
              </w:rPr>
            </w:pPr>
            <w:r w:rsidRPr="00D04B68">
              <w:rPr>
                <w:rFonts w:asciiTheme="minorEastAsia" w:eastAsiaTheme="minorEastAsia" w:hAnsiTheme="minorEastAsia" w:cs="仿宋" w:hint="eastAsia"/>
                <w:color w:val="404040"/>
                <w:kern w:val="0"/>
                <w:sz w:val="24"/>
              </w:rPr>
              <w:t>产品的过往业绩并不代表其未来表现。投资有风险，投资者在</w:t>
            </w:r>
            <w:r w:rsidRPr="00D04B68">
              <w:rPr>
                <w:rFonts w:asciiTheme="minorEastAsia" w:eastAsiaTheme="minorEastAsia" w:hAnsiTheme="minorEastAsia" w:cs="仿宋" w:hint="eastAsia"/>
                <w:color w:val="404040"/>
                <w:kern w:val="0"/>
                <w:sz w:val="24"/>
              </w:rPr>
              <w:t>作出</w:t>
            </w:r>
            <w:r w:rsidRPr="00D04B68">
              <w:rPr>
                <w:rFonts w:asciiTheme="minorEastAsia" w:eastAsiaTheme="minorEastAsia" w:hAnsiTheme="minorEastAsia" w:cs="仿宋" w:hint="eastAsia"/>
                <w:color w:val="404040"/>
                <w:kern w:val="0"/>
                <w:sz w:val="24"/>
              </w:rPr>
              <w:t>投资决策前应仔细阅读本</w:t>
            </w:r>
            <w:r w:rsidRPr="00D04B68">
              <w:rPr>
                <w:rFonts w:asciiTheme="minorEastAsia" w:eastAsiaTheme="minorEastAsia" w:hAnsiTheme="minorEastAsia" w:cs="仿宋" w:hint="eastAsia"/>
                <w:color w:val="000000"/>
                <w:sz w:val="24"/>
              </w:rPr>
              <w:t>产品</w:t>
            </w:r>
            <w:r w:rsidRPr="00D04B68">
              <w:rPr>
                <w:rFonts w:asciiTheme="minorEastAsia" w:eastAsiaTheme="minorEastAsia" w:hAnsiTheme="minorEastAsia" w:cs="仿宋" w:hint="eastAsia"/>
                <w:color w:val="404040"/>
                <w:kern w:val="0"/>
                <w:sz w:val="24"/>
              </w:rPr>
              <w:t>的产品说明书。</w:t>
            </w:r>
          </w:p>
          <w:p w:rsidR="00751A16" w:rsidRPr="00D04B68" w14:paraId="2A1A90D8" w14:textId="77777777">
            <w:pPr>
              <w:widowControl/>
              <w:adjustRightInd w:val="0"/>
              <w:snapToGrid w:val="0"/>
              <w:spacing w:line="420" w:lineRule="exact"/>
              <w:ind w:firstLine="480" w:firstLineChars="200"/>
              <w:jc w:val="left"/>
              <w:rPr>
                <w:rFonts w:asciiTheme="minorEastAsia" w:eastAsiaTheme="minorEastAsia" w:hAnsiTheme="minorEastAsia" w:cs="仿宋" w:hint="eastAsia"/>
                <w:color w:val="404040"/>
                <w:kern w:val="0"/>
                <w:sz w:val="24"/>
              </w:rPr>
            </w:pPr>
            <w:r w:rsidRPr="00D04B68">
              <w:rPr>
                <w:rFonts w:asciiTheme="minorEastAsia" w:eastAsiaTheme="minorEastAsia" w:hAnsiTheme="minorEastAsia" w:cs="仿宋" w:hint="eastAsia"/>
                <w:color w:val="404040"/>
                <w:kern w:val="0"/>
                <w:sz w:val="24"/>
              </w:rPr>
              <w:t>本报告中财务资料未经审计。</w:t>
            </w:r>
          </w:p>
          <w:p w:rsidR="00751A16" w:rsidRPr="00D04B68" w14:paraId="58336CF5" w14:textId="77777777">
            <w:pPr>
              <w:widowControl/>
              <w:adjustRightInd w:val="0"/>
              <w:snapToGrid w:val="0"/>
              <w:spacing w:line="420" w:lineRule="exact"/>
              <w:ind w:firstLine="480" w:firstLineChars="20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color w:val="404040"/>
                <w:kern w:val="0"/>
                <w:sz w:val="24"/>
              </w:rPr>
              <w:t>本报告期自</w:t>
            </w:r>
            <w:r>
              <w:rPr>
                <w:color w:val="404040"/>
                <w:sz w:val="24"/>
              </w:rPr>
              <w:t>2026年1月1日</w:t>
            </w:r>
            <w:r w:rsidRPr="00D04B68">
              <w:rPr>
                <w:rFonts w:asciiTheme="minorEastAsia" w:eastAsiaTheme="minorEastAsia" w:hAnsiTheme="minorEastAsia" w:cs="仿宋" w:hint="eastAsia"/>
                <w:color w:val="404040"/>
                <w:kern w:val="0"/>
                <w:sz w:val="24"/>
              </w:rPr>
              <w:t>起至</w:t>
            </w:r>
            <w:r>
              <w:rPr>
                <w:color w:val="404040"/>
                <w:sz w:val="24"/>
              </w:rPr>
              <w:t>2026年6月30日</w:t>
            </w:r>
            <w:r w:rsidRPr="00D04B68">
              <w:rPr>
                <w:rFonts w:asciiTheme="minorEastAsia" w:eastAsiaTheme="minorEastAsia" w:hAnsiTheme="minorEastAsia" w:cs="仿宋" w:hint="eastAsia"/>
                <w:color w:val="404040"/>
                <w:kern w:val="0"/>
                <w:sz w:val="24"/>
              </w:rPr>
              <w:t>止。</w:t>
            </w:r>
          </w:p>
        </w:tc>
      </w:tr>
    </w:tbl>
    <w:p w:rsidR="00751A16" w:rsidRPr="00D04B68" w14:paraId="2578EBD0" w14:textId="77777777">
      <w:pPr>
        <w:rPr>
          <w:rStyle w:val="a1"/>
          <w:rFonts w:asciiTheme="minorEastAsia" w:eastAsiaTheme="minorEastAsia" w:hAnsiTheme="minorEastAsia" w:cs="仿宋" w:hint="eastAsia"/>
          <w:color w:val="0000FF"/>
          <w:sz w:val="24"/>
        </w:rPr>
      </w:pPr>
    </w:p>
    <w:p w:rsidR="00751A16" w:rsidRPr="00D04B68" w14:paraId="2AFB4323"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1" w:name="_Toc67575498"/>
      <w:r w:rsidRPr="00D04B68">
        <w:rPr>
          <w:rFonts w:asciiTheme="minorEastAsia" w:eastAsiaTheme="minorEastAsia" w:hAnsiTheme="minorEastAsia" w:cs="仿宋" w:hint="eastAsia"/>
          <w:sz w:val="24"/>
        </w:rPr>
        <w:t>§2  产品概况</w:t>
      </w:r>
      <w:bookmarkEnd w:id="1"/>
    </w:p>
    <w:p w:rsidR="00751A16" w:rsidRPr="00D04B68" w14:paraId="044B4E84" w14:textId="77777777">
      <w:pPr>
        <w:adjustRightInd w:val="0"/>
        <w:snapToGrid w:val="0"/>
        <w:spacing w:line="440" w:lineRule="exact"/>
        <w:outlineLvl w:val="2"/>
        <w:rPr>
          <w:rFonts w:asciiTheme="minorEastAsia" w:eastAsiaTheme="minorEastAsia" w:hAnsiTheme="minorEastAsia" w:cs="仿宋" w:hint="eastAsia"/>
          <w:b/>
          <w:sz w:val="24"/>
        </w:rPr>
      </w:pPr>
      <w:bookmarkStart w:id="2" w:name="_Toc354129567"/>
      <w:bookmarkStart w:id="3" w:name="_Toc1870029270"/>
      <w:r w:rsidRPr="00D04B68">
        <w:rPr>
          <w:rFonts w:asciiTheme="minorEastAsia" w:eastAsiaTheme="minorEastAsia" w:hAnsiTheme="minorEastAsia" w:cs="仿宋" w:hint="eastAsia"/>
          <w:b/>
          <w:sz w:val="24"/>
        </w:rPr>
        <w:t>2.1 产品基本情况</w:t>
      </w:r>
      <w:bookmarkEnd w:id="2"/>
      <w:bookmarkEnd w:id="3"/>
    </w:p>
    <w:tbl>
      <w:tblPr>
        <w:tblW w:w="9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355"/>
        <w:gridCol w:w="5784"/>
      </w:tblGrid>
      <w:tr w14:paraId="46612FF4" w14:textId="77777777">
        <w:tblPrEx>
          <w:tblW w:w="9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580FC54A"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产品名称</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70108F95"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杭银理财幸福99年添益2003期理财</w:t>
            </w:r>
          </w:p>
        </w:tc>
      </w:tr>
      <w:tr w14:paraId="6621B2E3"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197981FA"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产品代码</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657C2198"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TYG13M2003</w:t>
            </w:r>
          </w:p>
        </w:tc>
      </w:tr>
      <w:tr w14:paraId="278D2244"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35D8932B"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理财信息登记系统登记编码</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5092B741"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Z7002220000010</w:t>
            </w:r>
          </w:p>
        </w:tc>
      </w:tr>
      <w:tr w14:paraId="2FDB52A7"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6C684286"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产品成立日</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76CCF4E1"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2020年8月25日</w:t>
            </w:r>
          </w:p>
        </w:tc>
      </w:tr>
      <w:tr w14:paraId="0E3CE00F"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0BFE8E5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产品到期日</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3FA73F8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w:t>
            </w:r>
          </w:p>
        </w:tc>
      </w:tr>
      <w:tr w14:paraId="0D81028A"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506C53E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产品募集方式</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66DB7E1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公募</w:t>
            </w:r>
          </w:p>
        </w:tc>
      </w:tr>
      <w:tr w14:paraId="15D22C34"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294B14DE"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产品运作模式</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406C4CFC"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开放式净值型</w:t>
            </w:r>
          </w:p>
        </w:tc>
      </w:tr>
      <w:tr w14:paraId="2C3F8ED9"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3AF6736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产品投资性质</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1BB5E5DA"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固定收益类</w:t>
            </w:r>
          </w:p>
        </w:tc>
      </w:tr>
      <w:tr w14:paraId="3225F7BB"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1D57EC95"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业绩比较基准（%）</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511BCA1F"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中国人民银行公布的1年期定期存款利率+0.4%</w:t>
            </w:r>
          </w:p>
        </w:tc>
      </w:tr>
      <w:tr w14:paraId="0D3B8E6C"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759D8D0F"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报告期末产品规模（</w:t>
            </w:r>
            <w:r w:rsidRPr="00D04B68" w:rsidR="00D47532">
              <w:rPr>
                <w:rFonts w:asciiTheme="minorEastAsia" w:eastAsiaTheme="minorEastAsia" w:hAnsiTheme="minorEastAsia" w:cs="仿宋" w:hint="eastAsia"/>
                <w:sz w:val="24"/>
              </w:rPr>
              <w:t>元</w:t>
            </w:r>
            <w:r w:rsidRPr="00D04B68">
              <w:rPr>
                <w:rFonts w:asciiTheme="minorEastAsia" w:eastAsiaTheme="minorEastAsia" w:hAnsiTheme="minorEastAsia" w:cs="仿宋" w:hint="eastAsia"/>
                <w:kern w:val="0"/>
                <w:sz w:val="24"/>
              </w:rPr>
              <w:t>）</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38396745"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349,322,193.87</w:t>
            </w:r>
          </w:p>
        </w:tc>
      </w:tr>
      <w:tr w14:paraId="38B422A2"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40D37C3B"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杠杆水平（%）</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0C51C9B7"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110.24</w:t>
            </w:r>
          </w:p>
        </w:tc>
      </w:tr>
      <w:tr w14:paraId="3A42A640"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71A180AF"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风险等级</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5BD29FA0"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二级（中低）</w:t>
            </w:r>
          </w:p>
        </w:tc>
      </w:tr>
      <w:tr w14:paraId="21D00FCA"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29F0B906"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产品管理人</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12F6D181"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杭银理财有限责任公司</w:t>
            </w:r>
          </w:p>
        </w:tc>
      </w:tr>
      <w:tr w14:paraId="4DD895E0"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45FA8EA0"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产品托管人</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383E6C9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杭州银行股份有限公司</w:t>
            </w:r>
          </w:p>
        </w:tc>
      </w:tr>
    </w:tbl>
    <w:p w:rsidR="00751A16" w:rsidRPr="00D04B68" w14:paraId="08FA94FC" w14:textId="77777777">
      <w:pPr>
        <w:adjustRightInd w:val="0"/>
        <w:snapToGrid w:val="0"/>
        <w:spacing w:line="360" w:lineRule="exac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*杠杆水平=总资产/理财产品净资产，理财产品净资产=总资产-总负债</w:t>
      </w:r>
    </w:p>
    <w:p w:rsidR="00751A16" w:rsidRPr="00D04B68" w14:paraId="10323C86" w14:textId="77777777">
      <w:pPr>
        <w:adjustRightInd w:val="0"/>
        <w:snapToGrid w:val="0"/>
        <w:spacing w:line="360" w:lineRule="exact"/>
        <w:rPr>
          <w:rFonts w:asciiTheme="minorEastAsia" w:eastAsiaTheme="minorEastAsia" w:hAnsiTheme="minorEastAsia" w:cs="仿宋" w:hint="eastAsia"/>
          <w:color w:val="000000"/>
          <w:sz w:val="24"/>
        </w:rPr>
      </w:pPr>
    </w:p>
    <w:p w:rsidR="00751A16" w:rsidRPr="00D04B68" w14:paraId="7248A443"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4" w:name="_Toc1158767045"/>
      <w:r w:rsidRPr="00D04B68">
        <w:rPr>
          <w:rFonts w:asciiTheme="minorEastAsia" w:eastAsiaTheme="minorEastAsia" w:hAnsiTheme="minorEastAsia" w:cs="仿宋" w:hint="eastAsia"/>
          <w:sz w:val="24"/>
        </w:rPr>
        <w:t>§3  主要财务指标和产品净值表现</w:t>
      </w:r>
      <w:bookmarkEnd w:id="4"/>
    </w:p>
    <w:p w:rsidR="00751A16" w:rsidRPr="00D04B68" w14:paraId="67D29865" w14:textId="77777777">
      <w:pPr>
        <w:adjustRightInd w:val="0"/>
        <w:snapToGrid w:val="0"/>
        <w:spacing w:line="440" w:lineRule="exact"/>
        <w:outlineLvl w:val="2"/>
        <w:rPr>
          <w:rFonts w:asciiTheme="minorEastAsia" w:eastAsiaTheme="minorEastAsia" w:hAnsiTheme="minorEastAsia" w:cs="仿宋" w:hint="eastAsia"/>
          <w:b/>
          <w:sz w:val="24"/>
        </w:rPr>
      </w:pPr>
      <w:bookmarkStart w:id="5" w:name="_Toc2016014319"/>
      <w:r w:rsidRPr="00D04B68">
        <w:rPr>
          <w:rFonts w:asciiTheme="minorEastAsia" w:eastAsiaTheme="minorEastAsia" w:hAnsiTheme="minorEastAsia" w:cs="仿宋" w:hint="eastAsia"/>
          <w:b/>
          <w:sz w:val="24"/>
        </w:rPr>
        <w:t>3.1 主要财务指标和产品净值表现</w:t>
      </w:r>
      <w:bookmarkEnd w:id="5"/>
    </w:p>
    <w:p w:rsidR="00751A16" w:rsidRPr="00D04B68" w14:paraId="152D56DA" w14:textId="77777777">
      <w:pPr>
        <w:adjustRightInd w:val="0"/>
        <w:snapToGrid w:val="0"/>
        <w:spacing w:line="440" w:lineRule="exact"/>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w:t>
      </w:r>
      <w:r>
        <w:rPr>
          <w:sz w:val="24"/>
        </w:rPr>
        <w:t>元</w:t>
      </w:r>
      <w:r>
        <w:rPr>
          <w:sz w:val="24"/>
        </w:rPr>
        <w:t>、份、</w:t>
      </w:r>
      <w:r>
        <w:rPr>
          <w:sz w:val="24"/>
        </w:rPr>
        <w:t>元</w:t>
      </w:r>
      <w:r>
        <w:rPr>
          <w:sz w:val="24"/>
        </w:rPr>
        <w:t>/份</w:t>
      </w:r>
    </w:p>
    <w:tbl>
      <w:tblPr>
        <w:tblW w:w="9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405"/>
        <w:gridCol w:w="1418"/>
        <w:gridCol w:w="585"/>
        <w:gridCol w:w="407"/>
        <w:gridCol w:w="992"/>
        <w:gridCol w:w="3321"/>
      </w:tblGrid>
      <w:tr w14:paraId="0B2038E2" w14:textId="77777777">
        <w:tblPrEx>
          <w:tblW w:w="9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07699BDA"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sz w:val="24"/>
              </w:rPr>
              <w:t>主要财务指标</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798CA593"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报告期</w:t>
            </w:r>
          </w:p>
          <w:p w:rsidR="00751A16" w:rsidRPr="00D04B68" w14:paraId="23B8FF20"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w:t>
            </w:r>
            <w:r>
              <w:rPr>
                <w:color w:val="000000"/>
                <w:sz w:val="24"/>
              </w:rPr>
              <w:t>2026年1月1日</w:t>
            </w:r>
            <w:r w:rsidRPr="00D04B68">
              <w:rPr>
                <w:rFonts w:asciiTheme="minorEastAsia" w:eastAsiaTheme="minorEastAsia" w:hAnsiTheme="minorEastAsia" w:cs="仿宋" w:hint="eastAsia"/>
                <w:color w:val="000000"/>
                <w:kern w:val="0"/>
                <w:sz w:val="24"/>
              </w:rPr>
              <w:t>-</w:t>
            </w:r>
            <w:r>
              <w:rPr>
                <w:color w:val="000000"/>
                <w:sz w:val="24"/>
              </w:rPr>
              <w:t>2026年6月30日</w:t>
            </w:r>
            <w:r w:rsidRPr="00D04B68">
              <w:rPr>
                <w:rFonts w:asciiTheme="minorEastAsia" w:eastAsiaTheme="minorEastAsia" w:hAnsiTheme="minorEastAsia" w:cs="仿宋" w:hint="eastAsia"/>
                <w:color w:val="000000"/>
                <w:kern w:val="0"/>
                <w:sz w:val="24"/>
              </w:rPr>
              <w:t>）</w:t>
            </w:r>
          </w:p>
        </w:tc>
      </w:tr>
      <w:tr w14:paraId="667F73D2" w14:textId="77777777">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6E32E9CD" w14:textId="77777777">
            <w:pPr>
              <w:widowControl/>
              <w:adjustRightInd w:val="0"/>
              <w:snapToGrid w:val="0"/>
              <w:rPr>
                <w:rStyle w:val="a1"/>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1.期末产品资产净值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3240440D" w14:textId="77777777">
            <w:pPr>
              <w:widowControl/>
              <w:adjustRightInd w:val="0"/>
              <w:snapToGrid w:val="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349,322,193.87</w:t>
            </w:r>
          </w:p>
        </w:tc>
      </w:tr>
      <w:tr w14:paraId="791DFBF0" w14:textId="77777777">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428B3BF8" w14:textId="77777777">
            <w:pPr>
              <w:widowControl/>
              <w:adjustRightInd w:val="0"/>
              <w:snapToGrid w:val="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2.期末产品总份额</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72887C85" w14:textId="77777777">
            <w:pPr>
              <w:widowControl/>
              <w:adjustRightInd w:val="0"/>
              <w:snapToGrid w:val="0"/>
              <w:jc w:val="righ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343,123,087.11</w:t>
            </w:r>
          </w:p>
        </w:tc>
      </w:tr>
      <w:tr w14:paraId="7253AFB3" w14:textId="77777777">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0E572FAF" w14:textId="77777777">
            <w:pPr>
              <w:widowControl/>
              <w:adjustRightInd w:val="0"/>
              <w:snapToGrid w:val="0"/>
              <w:rPr>
                <w:rStyle w:val="a1"/>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3.期末产品份额单位净值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41CD0C0A" w14:textId="77777777">
            <w:pPr>
              <w:widowControl/>
              <w:adjustRightInd w:val="0"/>
              <w:snapToGrid w:val="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1.0180</w:t>
            </w:r>
          </w:p>
        </w:tc>
      </w:tr>
      <w:tr w14:paraId="38600F39" w14:textId="77777777">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0F885E97" w14:textId="77777777">
            <w:pPr>
              <w:widowControl/>
              <w:adjustRightInd w:val="0"/>
              <w:snapToGrid w:val="0"/>
              <w:rPr>
                <w:rStyle w:val="a1"/>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4.期末产品份额累计净值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7DA1845E" w14:textId="77777777">
            <w:pPr>
              <w:widowControl/>
              <w:adjustRightInd w:val="0"/>
              <w:snapToGrid w:val="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1.2172</w:t>
            </w:r>
          </w:p>
        </w:tc>
      </w:tr>
      <w:tr w14:paraId="7BE8026D" w14:textId="77777777">
        <w:tblPrEx>
          <w:tblW w:w="9128" w:type="dxa"/>
          <w:tblLayout w:type="fixed"/>
          <w:tblLook w:val="04A0"/>
        </w:tblPrEx>
        <w:trPr>
          <w:trHeight w:val="23"/>
        </w:trPr>
        <w:tc>
          <w:tcPr>
            <w:tcW w:w="9128" w:type="dxa"/>
            <w:gridSpan w:val="6"/>
            <w:tcBorders>
              <w:top w:val="single" w:sz="4" w:space="0" w:color="auto"/>
              <w:left w:val="single" w:sz="4" w:space="0" w:color="auto"/>
              <w:bottom w:val="single" w:sz="4" w:space="0" w:color="auto"/>
              <w:right w:val="single" w:sz="4" w:space="0" w:color="auto"/>
            </w:tcBorders>
            <w:vAlign w:val="center"/>
          </w:tcPr>
          <w:p w:rsidR="00751A16" w:rsidRPr="00D04B68" w14:paraId="5834C7F6" w14:textId="77777777">
            <w:pPr>
              <w:widowControl/>
              <w:adjustRightInd w:val="0"/>
              <w:snapToGrid w:val="0"/>
              <w:jc w:val="center"/>
              <w:rPr>
                <w:rFonts w:asciiTheme="minorEastAsia" w:eastAsiaTheme="minorEastAsia" w:hAnsiTheme="minorEastAsia" w:cs="仿宋" w:hint="eastAsia"/>
                <w:color w:val="0000FF"/>
                <w:sz w:val="24"/>
              </w:rPr>
            </w:pPr>
            <w:r w:rsidRPr="00D04B68">
              <w:rPr>
                <w:rFonts w:asciiTheme="minorEastAsia" w:eastAsiaTheme="minorEastAsia" w:hAnsiTheme="minorEastAsia" w:cs="仿宋" w:hint="eastAsia"/>
                <w:kern w:val="0"/>
                <w:sz w:val="24"/>
              </w:rPr>
              <w:t>报告期末下属子产品相关信息披露</w:t>
            </w:r>
          </w:p>
        </w:tc>
      </w:tr>
      <w:tr w14:paraId="5DC1C02B"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paraId="0EB21C8B"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子产品名称</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paraId="61FDA73B"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子产品代码</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paraId="5B057F1D"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份额</w:t>
            </w:r>
          </w:p>
          <w:p w:rsidR="00751A16" w:rsidRPr="00D04B68" w14:paraId="7CEA5EF6"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净值</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paraId="464A04FE"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份额累计净值</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paraId="20AE6768"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资产净值</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paraId="6CF62515"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年添益2003期</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paraId="39F9934F"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TYG13M2003</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paraId="36952121"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1.0179</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paraId="1224CA41"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1.2166</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paraId="286FDC3B"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314,787,392.84</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年添益2003期B款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TYG13M2003B</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1.0185</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1.2192</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4,854,862.59</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年添益2003期D款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TYG13M2003D</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1.0191</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1.2246</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18,785,660.82</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年添益2003期E款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TYG13M2003E</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1.0196</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1.2292</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10,894,277.62</w:t>
            </w:r>
          </w:p>
        </w:tc>
      </w:tr>
    </w:tbl>
    <w:p w:rsidR="00751A16" w:rsidRPr="00D04B68" w14:paraId="2330BB98" w14:textId="77777777">
      <w:pPr>
        <w:adjustRightInd w:val="0"/>
        <w:snapToGrid w:val="0"/>
        <w:spacing w:line="440" w:lineRule="exact"/>
        <w:outlineLvl w:val="2"/>
        <w:rPr>
          <w:rFonts w:asciiTheme="minorEastAsia" w:eastAsiaTheme="minorEastAsia" w:hAnsiTheme="minorEastAsia" w:cs="仿宋" w:hint="eastAsia"/>
          <w:b/>
          <w:sz w:val="24"/>
        </w:rPr>
      </w:pPr>
      <w:bookmarkStart w:id="6" w:name="_Toc155677067"/>
      <w:r w:rsidRPr="00D04B68">
        <w:rPr>
          <w:rFonts w:asciiTheme="minorEastAsia" w:eastAsiaTheme="minorEastAsia" w:hAnsiTheme="minorEastAsia" w:cs="仿宋" w:hint="eastAsia"/>
          <w:b/>
          <w:sz w:val="24"/>
        </w:rPr>
        <w:t>3.</w:t>
      </w:r>
      <w:r w:rsidRPr="00D04B68">
        <w:rPr>
          <w:rFonts w:asciiTheme="minorEastAsia" w:eastAsiaTheme="minorEastAsia" w:hAnsiTheme="minorEastAsia" w:cs="仿宋"/>
          <w:b/>
          <w:sz w:val="24"/>
        </w:rPr>
        <w:t>2</w:t>
      </w:r>
      <w:r w:rsidRPr="00D04B68">
        <w:rPr>
          <w:rFonts w:asciiTheme="minorEastAsia" w:eastAsiaTheme="minorEastAsia" w:hAnsiTheme="minorEastAsia" w:cs="仿宋" w:hint="eastAsia"/>
          <w:b/>
          <w:sz w:val="24"/>
        </w:rPr>
        <w:t xml:space="preserve"> 产品收益表现</w:t>
      </w:r>
      <w:bookmarkEnd w:id="6"/>
    </w:p>
    <w:tbl>
      <w:tblPr>
        <w:tblW w:w="91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216"/>
        <w:gridCol w:w="1390"/>
        <w:gridCol w:w="1338"/>
        <w:gridCol w:w="1362"/>
        <w:gridCol w:w="1246"/>
        <w:gridCol w:w="1569"/>
      </w:tblGrid>
      <w:tr w14:paraId="6B0A80E7" w14:textId="77777777">
        <w:tblPrEx>
          <w:tblW w:w="91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paraId="1F998BCA"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产品名称</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paraId="6094887E"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近</w:t>
            </w:r>
            <w:r w:rsidRPr="00D04B68">
              <w:rPr>
                <w:rFonts w:asciiTheme="minorEastAsia" w:eastAsiaTheme="minorEastAsia" w:hAnsiTheme="minorEastAsia" w:cs="仿宋" w:hint="eastAsia"/>
                <w:color w:val="000000"/>
                <w:kern w:val="0"/>
                <w:sz w:val="24"/>
              </w:rPr>
              <w:t>一个月年化收益率</w:t>
            </w:r>
            <w:r w:rsidRPr="00D04B68">
              <w:rPr>
                <w:rFonts w:asciiTheme="minorEastAsia" w:eastAsiaTheme="minorEastAsia" w:hAnsiTheme="minorEastAsia" w:cs="仿宋" w:hint="eastAsia"/>
                <w:kern w:val="0"/>
                <w:sz w:val="24"/>
              </w:rPr>
              <w:t>（%）</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paraId="3D4527E2"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近</w:t>
            </w:r>
            <w:r w:rsidRPr="00D04B68">
              <w:rPr>
                <w:rFonts w:asciiTheme="minorEastAsia" w:eastAsiaTheme="minorEastAsia" w:hAnsiTheme="minorEastAsia" w:cs="仿宋" w:hint="eastAsia"/>
                <w:color w:val="000000"/>
                <w:kern w:val="0"/>
                <w:sz w:val="24"/>
              </w:rPr>
              <w:t>三个月年化收益率</w:t>
            </w:r>
            <w:r w:rsidRPr="00D04B68">
              <w:rPr>
                <w:rFonts w:asciiTheme="minorEastAsia" w:eastAsiaTheme="minorEastAsia" w:hAnsiTheme="minorEastAsia" w:cs="仿宋" w:hint="eastAsia"/>
                <w:kern w:val="0"/>
                <w:sz w:val="24"/>
              </w:rPr>
              <w:t>（%）</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paraId="2117E856"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近</w:t>
            </w:r>
            <w:r w:rsidRPr="00D04B68">
              <w:rPr>
                <w:rFonts w:asciiTheme="minorEastAsia" w:eastAsiaTheme="minorEastAsia" w:hAnsiTheme="minorEastAsia" w:cs="仿宋" w:hint="eastAsia"/>
                <w:color w:val="000000"/>
                <w:kern w:val="0"/>
                <w:sz w:val="24"/>
              </w:rPr>
              <w:t>六个月年化收益率</w:t>
            </w:r>
            <w:r w:rsidRPr="00D04B68">
              <w:rPr>
                <w:rFonts w:asciiTheme="minorEastAsia" w:eastAsiaTheme="minorEastAsia" w:hAnsiTheme="minorEastAsia" w:cs="仿宋" w:hint="eastAsia"/>
                <w:kern w:val="0"/>
                <w:sz w:val="24"/>
              </w:rPr>
              <w:t>（%）</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paraId="2D38FFEA"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近一年年化收益率</w:t>
            </w:r>
            <w:r w:rsidRPr="00D04B68">
              <w:rPr>
                <w:rFonts w:asciiTheme="minorEastAsia" w:eastAsiaTheme="minorEastAsia" w:hAnsiTheme="minorEastAsia" w:cs="仿宋" w:hint="eastAsia"/>
                <w:kern w:val="0"/>
                <w:sz w:val="24"/>
              </w:rPr>
              <w:t>（%）</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paraId="7EBE7139"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color w:val="000000"/>
                <w:kern w:val="0"/>
                <w:sz w:val="24"/>
              </w:rPr>
              <w:t>成立</w:t>
            </w:r>
            <w:r w:rsidRPr="00D04B68">
              <w:rPr>
                <w:rFonts w:asciiTheme="minorEastAsia" w:eastAsiaTheme="minorEastAsia" w:hAnsiTheme="minorEastAsia" w:cs="仿宋" w:hint="eastAsia"/>
                <w:color w:val="000000"/>
                <w:kern w:val="0"/>
                <w:sz w:val="24"/>
              </w:rPr>
              <w:t>以来年化收益率</w:t>
            </w:r>
            <w:r w:rsidRPr="00D04B68">
              <w:rPr>
                <w:rFonts w:asciiTheme="minorEastAsia" w:eastAsiaTheme="minorEastAsia" w:hAnsiTheme="minorEastAsia" w:cs="仿宋" w:hint="eastAsia"/>
                <w:kern w:val="0"/>
                <w:sz w:val="24"/>
              </w:rPr>
              <w:t>（%）</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paraId="0D001F06"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年添益2003期</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paraId="58B2DB75"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8.26</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paraId="6099ECC5"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4.38</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paraId="0C1D368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2.57</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paraId="57C1C7A3"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2.74</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paraId="401495F3"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3.70</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年添益2003期B款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8.34</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4.47</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2.65</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2.82</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3.34</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年添益2003期D款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8.40</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4.52</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2.72</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2.90</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3.15</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年添益2003期E款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8.37</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4.57</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2.79</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2.97</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3.25</w:t>
            </w:r>
          </w:p>
        </w:tc>
      </w:tr>
    </w:tbl>
    <w:p w:rsidR="00800B2E" w:rsidRPr="00D04B68" w:rsidP="00800B2E" w14:paraId="7A8F122D" w14:textId="77777777">
      <w:pPr>
        <w:adjustRightInd w:val="0"/>
        <w:snapToGrid w:val="0"/>
        <w:spacing w:line="360" w:lineRule="exac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w:t>
      </w:r>
      <w:r w:rsidRPr="00D04B68">
        <w:rPr>
          <w:rFonts w:asciiTheme="minorEastAsia" w:eastAsiaTheme="minorEastAsia" w:hAnsiTheme="minorEastAsia" w:cs="仿宋" w:hint="eastAsia"/>
          <w:sz w:val="24"/>
        </w:rPr>
        <w:t>折合年化收益率</w:t>
      </w:r>
      <w:r w:rsidRPr="00D04B68">
        <w:rPr>
          <w:rFonts w:asciiTheme="minorEastAsia" w:eastAsiaTheme="minorEastAsia" w:hAnsiTheme="minorEastAsia" w:cs="仿宋" w:hint="eastAsia"/>
          <w:sz w:val="24"/>
        </w:rPr>
        <w:t>计算公式为：（当前累计净值-N天前累计净值）/N天前单位净值/N*365*100%，N的取值为：近一个月：30天；近三个月：90天；近六个月：180天；近一年：365天；成立以来：当前日期-成立日；</w:t>
      </w:r>
      <w:r w:rsidRPr="00D04B68">
        <w:rPr>
          <w:rFonts w:asciiTheme="minorEastAsia" w:eastAsiaTheme="minorEastAsia" w:hAnsiTheme="minorEastAsia" w:cs="仿宋" w:hint="eastAsia"/>
          <w:sz w:val="24"/>
        </w:rPr>
        <w:br/>
        <w:t>*产品过往业绩相关数据已经产品托管人复核；</w:t>
      </w:r>
    </w:p>
    <w:p w:rsidR="00800B2E" w:rsidRPr="00D04B68" w:rsidP="00800B2E" w14:paraId="5DB9507E" w14:textId="77777777">
      <w:pPr>
        <w:adjustRightInd w:val="0"/>
        <w:snapToGrid w:val="0"/>
        <w:spacing w:line="360" w:lineRule="exac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w:t>
      </w:r>
      <w:r w:rsidRPr="00D04B68">
        <w:rPr>
          <w:rFonts w:asciiTheme="minorEastAsia" w:eastAsiaTheme="minorEastAsia" w:hAnsiTheme="minorEastAsia" w:hint="eastAsia"/>
          <w:sz w:val="24"/>
        </w:rPr>
        <w:t>理财产品</w:t>
      </w:r>
      <w:r w:rsidRPr="00D04B68" w:rsidR="007D2EBE">
        <w:rPr>
          <w:rFonts w:asciiTheme="minorEastAsia" w:eastAsiaTheme="minorEastAsia" w:hAnsiTheme="minorEastAsia" w:hint="eastAsia"/>
          <w:sz w:val="24"/>
        </w:rPr>
        <w:t>过往业绩不代表其未来的表现及收益，理财非存款，市场有风险，投资须</w:t>
      </w:r>
      <w:r w:rsidRPr="00D04B68">
        <w:rPr>
          <w:rFonts w:asciiTheme="minorEastAsia" w:eastAsiaTheme="minorEastAsia" w:hAnsiTheme="minorEastAsia" w:hint="eastAsia"/>
          <w:sz w:val="24"/>
        </w:rPr>
        <w:t>谨慎。</w:t>
      </w:r>
    </w:p>
    <w:p w:rsidR="00751A16" w:rsidRPr="00D04B68" w14:paraId="2951CD43" w14:textId="77777777">
      <w:pPr>
        <w:adjustRightInd w:val="0"/>
        <w:snapToGrid w:val="0"/>
        <w:rPr>
          <w:rFonts w:asciiTheme="minorEastAsia" w:eastAsiaTheme="minorEastAsia" w:hAnsiTheme="minorEastAsia" w:cs="仿宋" w:hint="eastAsia"/>
          <w:color w:val="404040"/>
          <w:kern w:val="0"/>
          <w:sz w:val="24"/>
        </w:rPr>
      </w:pPr>
    </w:p>
    <w:p w:rsidR="00751A16" w:rsidRPr="00D04B68" w14:paraId="423C54DD"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7" w:name="_Toc829383023"/>
      <w:r w:rsidRPr="00D04B68">
        <w:rPr>
          <w:rFonts w:asciiTheme="minorEastAsia" w:eastAsiaTheme="minorEastAsia" w:hAnsiTheme="minorEastAsia" w:cs="仿宋" w:hint="eastAsia"/>
          <w:sz w:val="24"/>
        </w:rPr>
        <w:t>§4  投资组合报告</w:t>
      </w:r>
      <w:bookmarkEnd w:id="7"/>
    </w:p>
    <w:p w:rsidR="00751A16" w:rsidRPr="00D04B68" w14:paraId="1F906DBE" w14:textId="77777777">
      <w:pPr>
        <w:adjustRightInd w:val="0"/>
        <w:snapToGrid w:val="0"/>
        <w:spacing w:line="440" w:lineRule="exact"/>
        <w:outlineLvl w:val="2"/>
        <w:rPr>
          <w:rFonts w:asciiTheme="minorEastAsia" w:eastAsiaTheme="minorEastAsia" w:hAnsiTheme="minorEastAsia" w:cs="仿宋" w:hint="eastAsia"/>
          <w:b/>
          <w:sz w:val="24"/>
        </w:rPr>
      </w:pPr>
      <w:bookmarkStart w:id="8" w:name="_Toc124114884"/>
      <w:r w:rsidRPr="00D04B68">
        <w:rPr>
          <w:rFonts w:asciiTheme="minorEastAsia" w:eastAsiaTheme="minorEastAsia" w:hAnsiTheme="minorEastAsia" w:cs="仿宋" w:hint="eastAsia"/>
          <w:b/>
          <w:sz w:val="24"/>
        </w:rPr>
        <w:t>4.1 报告期内产品投资策略回顾</w:t>
      </w:r>
      <w:bookmarkEnd w:id="8"/>
    </w:p>
    <w:p w:rsidR="00751A16" w:rsidRPr="00D04B68" w14:paraId="02CEC222"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2026年上半年债市整体走出震荡慢牛、曲线持续牛平、高等级信用同步修复行情，一季度以中短端利率下行打底，二季度长端接力补涨；全年主线由持续宽松流动性、内需弱修复、全域资产荒主导，6月末长端估值高位引发交易盘止盈，行情转入窄幅震荡。10年期国债年初收益率中枢1.82%，上半年累计下行约8BP，6月末收于1.74%，区间低点1.70%—1.71%。30年期超长国债年初收益率2.27%，上半年下行约5BP，6月末报2.22%，表现前弱后强、二季度集中补涨。以3年期AA+中短期票据为代表，上半年收益率整体下行24BP，走势与国债高度共振，6月末回落至1.73%,对应信用利差全年累计收窄12BP，一季度配置资金入场推动利差快速压缩，3月受短端资金收敛小幅走阔，二季度流动性宽松再度带动利差持续下行。</w:t>
        <w:cr/>
        <w:t xml:space="preserve">    2026年上半年A股是极致结构性行情，宽基指数收益差距巨大，科创、创业板、中小盘制造领涨，大盘价值蓝筹整体走弱；行业层面TMT、高端装备为绝对主线，消费、金融、地产持续承压。行情由AI产业超级景气、国内持续宽松流动性、宏观经济K型弱修复三大核心因素主导，存量资金抱团特征显著，6月末高位估值兑现引发短期震荡，全年行情核心矛盾集中于细分赛道景气度差异，无系统性全面牛市。上证指数仅上涨3.16%，创业板指上半年上涨35.58%，科创50上半年累计涨幅64.25%。</w:t>
        <w:cr/>
        <w:t xml:space="preserve">    2026上半年伦敦金呈现前高后低、冲高回落走势，上半年累计下跌7.2%，行情核心矛盾是美联储高利率维持预期与央行长期购金支撑的博弈。一季度地缘避险驱动金价走牛，二季度美国经济通胀韧性扭转降息预期，实际利率上行主导金价持续回调；央行持续购金提供底部缓冲，避免金价单边暴跌，全年波动率大幅抬升，短期定价锚仍紧盯美国通胀、就业数据与美联储政策表态。</w:t>
        <w:cr/>
        <w:t xml:space="preserve">    2026上半年中证转债指数收涨3.20%，走出结构性震荡行情；全市场平价中位数处于历史中低位，转股溢价率中位数维持近90%高分位，市场呈现高平价低溢价、低平价高溢价的哑铃分化特征。行情由A股科技成长主线、持续宽松流动性、存量供需偏紧三大逻辑共同驱动，指数弹性完全绑定正股景气度，低价债性品种估值透支、高价赛道券受强赎约束，上半年末估值高位、资金分歧加大，市场单边做多行情阶段性结束。</w:t>
        <w:cr/>
        <w:t xml:space="preserve">    本产品严格按照投资范围进行投资，净值保持稳定上涨态势。    </w:t>
      </w:r>
    </w:p>
    <w:p w:rsidR="00751A16" w:rsidRPr="00D04B68" w14:paraId="50FA36FE" w14:textId="77777777">
      <w:pPr>
        <w:adjustRightInd w:val="0"/>
        <w:snapToGrid w:val="0"/>
        <w:spacing w:line="440" w:lineRule="exact"/>
        <w:outlineLvl w:val="2"/>
        <w:rPr>
          <w:rFonts w:asciiTheme="minorEastAsia" w:eastAsiaTheme="minorEastAsia" w:hAnsiTheme="minorEastAsia" w:cs="仿宋" w:hint="eastAsia"/>
          <w:b/>
          <w:sz w:val="24"/>
        </w:rPr>
      </w:pPr>
      <w:bookmarkStart w:id="9" w:name="_Toc792234151"/>
      <w:r w:rsidRPr="00D04B68">
        <w:rPr>
          <w:rFonts w:asciiTheme="minorEastAsia" w:eastAsiaTheme="minorEastAsia" w:hAnsiTheme="minorEastAsia" w:cs="仿宋" w:hint="eastAsia"/>
          <w:b/>
          <w:sz w:val="24"/>
        </w:rPr>
        <w:t>4.2产品未来展望</w:t>
      </w:r>
      <w:bookmarkEnd w:id="9"/>
    </w:p>
    <w:p w:rsidR="00751A16" w:rsidRPr="00D04B68" w14:paraId="2A1C814C"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债券市场，二季度公布的经济数据内需下滑严重，地产销售以价换量，经济亮点主要来自强劲的出口，债券作为内需的映射品种在基本面具备较强的支撑。资金面看，当前资金完全由央行控制，在退出隔夜回购工具后，央行对市场的精细化操作能力进一步加强，能在税期和月末进行削峰填谷，对资金价格的稳定性有一定帮助。当前市场可能依旧围绕期限利差进行交易，同时关注固收+产品对债市的扰动，超调会带来难得的波动交易机会。</w:t>
        <w:cr/>
        <w:t xml:space="preserve">    二季度权益市场极度分化，中美日韩K型上涨，AI硬件板块在美光等半导体巨头的超级财报和投资计划下大幅上涨，和内需相关的板块则被市场抛弃。7月将进入二季报预告阶段，市场对业绩确定性行业的投资依旧会维持相对较强状态，K型分化难言结束。存储在今年进入超级周期，从韩美半导体股票涨势看主要得益于盈利上修，估值并未大幅抬升，市场可能在高拥挤下发生盈利兑现，但主线难以撼动。相较而言，美股在经济就业偏强状态下，有一定扩散效应。继续围绕景气度进行投资是当下较为理智的选择。</w:t>
        <w:cr/>
        <w:t xml:space="preserve">    黄金已经跌穿年初点位，当前在4000美元磨底过程中。从基本面因素看，美国财政不可持续性依旧没有逆转，中短期看影响较大的两个因素是美国经济增长和通胀、两者均会抬高实际利率，提升黄金持有成本造成黄金下跌。通胀方面，油价已下跌回美伊站前水平，对黄金的影响已较为缓和；但在经济增长方面，得益与AI的超级资本开支，以及大型赛事的影响，PMI和就业之前一直维持非常强劲的状态，从7月1日公布的美国制造业PMI和ADP就业数据看，后续或有边际转弱的可能，当前位置先维持低位震荡判断，待美国经济情况转向明朗、金价走出趋势后再做趋势性操作。</w:t>
        <w:cr/>
        <w:t xml:space="preserve">    转债市场，小盘股在6月出现大幅杀跌情况，转债的百元平价溢价率由43%历史最高位回落至37%，估值压缩显著，转债均价回落到130元以内，在对权益市场维持偏多情况下、以及或有的资金再平衡可能性，转债是一个较好的参与品种，当前具备资金再平衡价值。</w:t>
      </w:r>
    </w:p>
    <w:p w:rsidR="00751A16" w:rsidRPr="00D04B68" w14:paraId="229914FB" w14:textId="77777777">
      <w:pPr>
        <w:adjustRightInd w:val="0"/>
        <w:snapToGrid w:val="0"/>
        <w:spacing w:line="440" w:lineRule="exact"/>
        <w:outlineLvl w:val="2"/>
        <w:rPr>
          <w:rFonts w:asciiTheme="minorEastAsia" w:eastAsiaTheme="minorEastAsia" w:hAnsiTheme="minorEastAsia" w:cs="仿宋" w:hint="eastAsia"/>
          <w:b/>
          <w:sz w:val="24"/>
        </w:rPr>
      </w:pPr>
      <w:bookmarkStart w:id="10" w:name="_Toc680764457"/>
      <w:r w:rsidRPr="00D04B68">
        <w:rPr>
          <w:rFonts w:asciiTheme="minorEastAsia" w:eastAsiaTheme="minorEastAsia" w:hAnsiTheme="minorEastAsia" w:cs="仿宋" w:hint="eastAsia"/>
          <w:b/>
          <w:sz w:val="24"/>
        </w:rPr>
        <w:t>4.3投资组合的流动性风险分析</w:t>
      </w:r>
      <w:bookmarkEnd w:id="10"/>
    </w:p>
    <w:p w:rsidR="00751A16" w:rsidRPr="00D04B68" w14:paraId="65C6A8E3"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流动性风险是指理财产品无法通过变现资产等途径以合理成本及时获得充足资金，用于满足该理财产品的投资者赎回需求、履行其他支付义务的风险。</w:t>
        <w:cr/>
        <w:t xml:space="preserve">    本产品主要直接或者间接投资于固定收益类资产（包括债券类资产、非标准化债权类资产）及权益类资产。产品所投资的债券资产流动性状况良好，所投资非标准化债权资产（如有）期限与产品单个运作周期匹配，正常情况下能够及时变现资产，筹集资金，满足本产品的投资者赎回需求或其他支付要求。产品所投资资管计划运作规范，能够通过申赎安排满足本产品流动性需求。权益持仓精选流动性较好品种，确保本产品资产的变现能力与投资者赎回需求匹配。</w:t>
        <w:cr/>
        <w:t xml:space="preserve">    报告期内，本产品组合资产的流动性与产品的申赎安排相匹配，未发生重大流动性风险事件。管理人将继续密切关注市场变化，做好产品端现金流的跟踪与研判，通过合理安排投资品种和期限结构、监控组合资金头寸等方式，确保产品的流动性风险得到有效管理。</w:t>
      </w:r>
    </w:p>
    <w:p w:rsidR="00751A16" w:rsidRPr="00D04B68" w14:paraId="114A0627" w14:textId="77777777">
      <w:pPr>
        <w:adjustRightInd w:val="0"/>
        <w:snapToGrid w:val="0"/>
        <w:spacing w:line="440" w:lineRule="exact"/>
        <w:outlineLvl w:val="2"/>
        <w:rPr>
          <w:rFonts w:asciiTheme="minorEastAsia" w:eastAsiaTheme="minorEastAsia" w:hAnsiTheme="minorEastAsia" w:cs="仿宋" w:hint="eastAsia"/>
          <w:b/>
          <w:sz w:val="24"/>
        </w:rPr>
      </w:pPr>
      <w:bookmarkStart w:id="11" w:name="_Toc1962841230"/>
      <w:r w:rsidRPr="00D04B68">
        <w:rPr>
          <w:rFonts w:asciiTheme="minorEastAsia" w:eastAsiaTheme="minorEastAsia" w:hAnsiTheme="minorEastAsia" w:cs="仿宋" w:hint="eastAsia"/>
          <w:b/>
          <w:sz w:val="24"/>
        </w:rPr>
        <w:t>4.4 报告期末投资组合分类</w:t>
      </w:r>
      <w:bookmarkEnd w:id="11"/>
    </w:p>
    <w:tbl>
      <w:tblPr>
        <w:tblW w:w="9024" w:type="dxa"/>
        <w:tblInd w:w="-5" w:type="dxa"/>
        <w:tblLayout w:type="fixed"/>
        <w:tblCellMar>
          <w:left w:w="0" w:type="dxa"/>
          <w:right w:w="0" w:type="dxa"/>
        </w:tblCellMar>
        <w:tblLook w:val="04A0"/>
      </w:tblPr>
      <w:tblGrid>
        <w:gridCol w:w="406"/>
        <w:gridCol w:w="4082"/>
        <w:gridCol w:w="2268"/>
        <w:gridCol w:w="2268"/>
      </w:tblGrid>
      <w:tr w14:paraId="2CB08674" w14:textId="77777777" w:rsidTr="00672142">
        <w:tblPrEx>
          <w:tblW w:w="9024" w:type="dxa"/>
          <w:tblInd w:w="-5" w:type="dxa"/>
          <w:tblLayout w:type="fixed"/>
          <w:tblCellMar>
            <w:left w:w="0" w:type="dxa"/>
            <w:right w:w="0" w:type="dxa"/>
          </w:tblCellMar>
          <w:tblLook w:val="04A0"/>
        </w:tblPrEx>
        <w:trPr>
          <w:trHeight w:val="415"/>
        </w:trPr>
        <w:tc>
          <w:tcPr>
            <w:tcW w:w="406" w:type="dxa"/>
            <w:tcBorders>
              <w:top w:val="single" w:sz="4" w:space="0" w:color="auto"/>
              <w:left w:val="single" w:sz="4" w:space="0" w:color="auto"/>
              <w:bottom w:val="single" w:sz="4" w:space="0" w:color="auto"/>
              <w:right w:val="single" w:sz="4" w:space="0" w:color="auto"/>
            </w:tcBorders>
          </w:tcPr>
          <w:p w:rsidR="00751A16" w:rsidRPr="00D04B68" w14:paraId="5FDAB90B"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序号</w:t>
            </w:r>
          </w:p>
        </w:tc>
        <w:tc>
          <w:tcPr>
            <w:tcW w:w="4082" w:type="dxa"/>
            <w:tcBorders>
              <w:top w:val="single" w:sz="4" w:space="0" w:color="auto"/>
              <w:left w:val="nil"/>
              <w:bottom w:val="single" w:sz="4" w:space="0" w:color="auto"/>
              <w:right w:val="single" w:sz="4" w:space="0" w:color="auto"/>
            </w:tcBorders>
            <w:vAlign w:val="center"/>
          </w:tcPr>
          <w:p w:rsidR="00751A16" w:rsidRPr="00D04B68" w:rsidP="00672142" w14:paraId="64F9C1A5"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项目</w:t>
            </w:r>
          </w:p>
        </w:tc>
        <w:tc>
          <w:tcPr>
            <w:tcW w:w="2268" w:type="dxa"/>
            <w:tcBorders>
              <w:top w:val="single" w:sz="4" w:space="0" w:color="auto"/>
              <w:left w:val="nil"/>
              <w:bottom w:val="single" w:sz="4" w:space="0" w:color="auto"/>
              <w:right w:val="single" w:sz="4" w:space="0" w:color="auto"/>
            </w:tcBorders>
          </w:tcPr>
          <w:p w:rsidR="00751A16" w:rsidRPr="00D04B68" w14:paraId="5C86D14C"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期末</w:t>
            </w:r>
            <w:r w:rsidRPr="00D04B68">
              <w:rPr>
                <w:rFonts w:asciiTheme="minorEastAsia" w:eastAsiaTheme="minorEastAsia" w:hAnsiTheme="minorEastAsia" w:cs="仿宋" w:hint="eastAsia"/>
                <w:sz w:val="24"/>
              </w:rPr>
              <w:t>穿透前占总</w:t>
            </w:r>
            <w:r w:rsidRPr="00D04B68">
              <w:rPr>
                <w:rFonts w:asciiTheme="minorEastAsia" w:eastAsiaTheme="minorEastAsia" w:hAnsiTheme="minorEastAsia" w:cs="仿宋" w:hint="eastAsia"/>
                <w:sz w:val="24"/>
              </w:rPr>
              <w:t>资产比例（％）</w:t>
            </w:r>
          </w:p>
        </w:tc>
        <w:tc>
          <w:tcPr>
            <w:tcW w:w="2268" w:type="dxa"/>
            <w:tcBorders>
              <w:top w:val="single" w:sz="4" w:space="0" w:color="auto"/>
              <w:left w:val="nil"/>
              <w:bottom w:val="single" w:sz="4" w:space="0" w:color="auto"/>
              <w:right w:val="single" w:sz="4" w:space="0" w:color="auto"/>
            </w:tcBorders>
          </w:tcPr>
          <w:p w:rsidR="00751A16" w:rsidRPr="00D04B68" w14:paraId="3B184234"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期末穿透后占总资产比例（％）</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paraId="0B22E78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w:t>
            </w:r>
          </w:p>
        </w:tc>
        <w:tc>
          <w:tcPr>
            <w:tcW w:w="4082" w:type="dxa"/>
            <w:tcBorders>
              <w:top w:val="single" w:sz="4" w:space="0" w:color="auto"/>
              <w:left w:val="nil"/>
              <w:bottom w:val="single" w:sz="4" w:space="0" w:color="auto"/>
              <w:right w:val="single" w:sz="4" w:space="0" w:color="auto"/>
            </w:tcBorders>
            <w:vAlign w:val="center"/>
          </w:tcPr>
          <w:p w:rsidR="00751A16" w:rsidRPr="00D04B68" w14:paraId="5518381F"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现金及银行存款</w:t>
            </w:r>
          </w:p>
        </w:tc>
        <w:tc>
          <w:tcPr>
            <w:tcW w:w="2268" w:type="dxa"/>
            <w:tcBorders>
              <w:top w:val="single" w:sz="4" w:space="0" w:color="auto"/>
              <w:left w:val="nil"/>
              <w:bottom w:val="single" w:sz="4" w:space="0" w:color="auto"/>
              <w:right w:val="single" w:sz="4" w:space="0" w:color="auto"/>
            </w:tcBorders>
            <w:vAlign w:val="center"/>
          </w:tcPr>
          <w:p w:rsidR="00751A16" w:rsidRPr="00D04B68" w14:paraId="1D2DEB8F"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5.86</w:t>
            </w:r>
          </w:p>
        </w:tc>
        <w:tc>
          <w:tcPr>
            <w:tcW w:w="2268" w:type="dxa"/>
            <w:tcBorders>
              <w:top w:val="single" w:sz="4" w:space="0" w:color="auto"/>
              <w:left w:val="nil"/>
              <w:bottom w:val="single" w:sz="4" w:space="0" w:color="auto"/>
              <w:right w:val="single" w:sz="4" w:space="0" w:color="auto"/>
            </w:tcBorders>
            <w:vAlign w:val="center"/>
          </w:tcPr>
          <w:p w:rsidR="00751A16" w:rsidRPr="00D04B68" w14:paraId="05B28ED1"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13.91</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同业存单</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1.67</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拆放同业及债券买入返售</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0.68</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债券</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37.12</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71.01</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非标准化债权类资产</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6</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权益类投资</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7</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金融衍生品</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8</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代客境外理财投资QDII</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2.12</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9</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商品类资产</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另类资产</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11</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公募基金</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4.06</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10.60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12</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私募基金</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13</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资产管理产品</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52.96</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14</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委外投资——协议方式</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15</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合计</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100.00</w:t>
            </w:r>
          </w:p>
        </w:tc>
      </w:tr>
    </w:tbl>
    <w:p w:rsidR="00751A16" w:rsidRPr="00D04B68" w14:paraId="3EEE4677" w14:textId="77777777">
      <w:pPr>
        <w:adjustRightInd w:val="0"/>
        <w:snapToGrid w:val="0"/>
        <w:spacing w:line="440" w:lineRule="exact"/>
        <w:outlineLvl w:val="2"/>
        <w:rPr>
          <w:rFonts w:asciiTheme="minorEastAsia" w:eastAsiaTheme="minorEastAsia" w:hAnsiTheme="minorEastAsia" w:cs="仿宋" w:hint="eastAsia"/>
          <w:b/>
          <w:sz w:val="24"/>
        </w:rPr>
      </w:pPr>
      <w:bookmarkStart w:id="12" w:name="_Toc1258005047"/>
      <w:r w:rsidRPr="00D04B68">
        <w:rPr>
          <w:rFonts w:asciiTheme="minorEastAsia" w:eastAsiaTheme="minorEastAsia" w:hAnsiTheme="minorEastAsia" w:cs="仿宋" w:hint="eastAsia"/>
          <w:b/>
          <w:sz w:val="24"/>
        </w:rPr>
        <w:t>4.</w:t>
      </w:r>
      <w:r w:rsidRPr="00D04B68">
        <w:rPr>
          <w:rFonts w:asciiTheme="minorEastAsia" w:eastAsiaTheme="minorEastAsia" w:hAnsiTheme="minorEastAsia" w:cs="仿宋"/>
          <w:b/>
          <w:sz w:val="24"/>
        </w:rPr>
        <w:t>5</w:t>
      </w:r>
      <w:r w:rsidRPr="00D04B68">
        <w:rPr>
          <w:rFonts w:asciiTheme="minorEastAsia" w:eastAsiaTheme="minorEastAsia" w:hAnsiTheme="minorEastAsia" w:cs="仿宋" w:hint="eastAsia"/>
          <w:b/>
          <w:sz w:val="24"/>
        </w:rPr>
        <w:t>报告期末投资前十名资产明细</w:t>
      </w:r>
      <w:bookmarkEnd w:id="12"/>
    </w:p>
    <w:p w:rsidR="00751A16" w:rsidRPr="00D04B68" w14:paraId="56120CA9" w14:textId="77777777">
      <w:pPr>
        <w:adjustRightInd w:val="0"/>
        <w:snapToGrid w:val="0"/>
        <w:spacing w:line="440" w:lineRule="exact"/>
        <w:ind w:firstLine="6240" w:firstLineChars="260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w:t>
      </w:r>
      <w:r>
        <w:rPr>
          <w:sz w:val="24"/>
        </w:rPr>
        <w:t>人民币元</w:t>
      </w:r>
    </w:p>
    <w:tbl>
      <w:tblPr>
        <w:tblW w:w="9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
      <w:tblGrid>
        <w:gridCol w:w="562"/>
        <w:gridCol w:w="3772"/>
        <w:gridCol w:w="2340"/>
        <w:gridCol w:w="2356"/>
      </w:tblGrid>
      <w:tr w14:paraId="3E3DBA07" w14:textId="77777777">
        <w:tblPrEx>
          <w:tblW w:w="9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0D7C8989"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序号</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7DB513F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资产名称</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26CB408C"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金额（</w:t>
            </w:r>
            <w:r>
              <w:rPr>
                <w:sz w:val="24"/>
              </w:rPr>
              <w:t>元</w:t>
            </w:r>
            <w:r>
              <w:rPr>
                <w:sz w:val="24"/>
              </w:rPr>
              <w:t>）</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5E780AA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占资产净值比例（％）</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61168711"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38487FED"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21新昌城投PPN001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50607E6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31,089,526.03</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20DD8D42"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8.90</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26超长特别国债02</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28,632,373.67</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8.20</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25附息国债20</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21,843,836.11</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6.25</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24重庆临空PPN001A</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20,477,247.40</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5.86</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24宜兴环保MTN001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20,345,458.08</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5.82</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6</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24淮安新城MTN004</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20,333,952.60</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5.82</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7</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24安市淮阴MTN001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20,316,500.82</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5.82</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8</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25国开08</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20,018,932.07</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5.73</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9</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26国开05</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14,476,712.56</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4.14</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24巢湖城镇MTN001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10,149,404.11</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2.91</w:t>
            </w:r>
          </w:p>
        </w:tc>
      </w:tr>
    </w:tbl>
    <w:p w:rsidR="00751A16" w:rsidRPr="00D04B68" w14:paraId="62789964" w14:textId="77777777">
      <w:pPr>
        <w:adjustRightInd w:val="0"/>
        <w:snapToGrid w:val="0"/>
        <w:spacing w:line="440" w:lineRule="exact"/>
        <w:outlineLvl w:val="2"/>
        <w:rPr>
          <w:rFonts w:asciiTheme="minorEastAsia" w:eastAsiaTheme="minorEastAsia" w:hAnsiTheme="minorEastAsia" w:cs="仿宋" w:hint="eastAsia"/>
          <w:b/>
          <w:sz w:val="24"/>
        </w:rPr>
      </w:pPr>
      <w:bookmarkStart w:id="13" w:name="_Toc1314320214"/>
      <w:r w:rsidRPr="00D04B68">
        <w:rPr>
          <w:rFonts w:asciiTheme="minorEastAsia" w:eastAsiaTheme="minorEastAsia" w:hAnsiTheme="minorEastAsia" w:cs="仿宋" w:hint="eastAsia"/>
          <w:b/>
          <w:sz w:val="24"/>
        </w:rPr>
        <w:t>4.</w:t>
      </w:r>
      <w:r w:rsidRPr="00D04B68">
        <w:rPr>
          <w:rFonts w:asciiTheme="minorEastAsia" w:eastAsiaTheme="minorEastAsia" w:hAnsiTheme="minorEastAsia" w:cs="仿宋"/>
          <w:b/>
          <w:sz w:val="24"/>
        </w:rPr>
        <w:t>6</w:t>
      </w:r>
      <w:r w:rsidRPr="00D04B68">
        <w:rPr>
          <w:rFonts w:asciiTheme="minorEastAsia" w:eastAsiaTheme="minorEastAsia" w:hAnsiTheme="minorEastAsia" w:cs="仿宋" w:hint="eastAsia"/>
          <w:b/>
          <w:sz w:val="24"/>
        </w:rPr>
        <w:t>报告期融资情况</w:t>
      </w:r>
      <w:bookmarkEnd w:id="13"/>
    </w:p>
    <w:p w:rsidR="00751A16" w:rsidRPr="00D04B68" w14:paraId="47A1883D" w14:textId="77777777">
      <w:pPr>
        <w:adjustRightInd w:val="0"/>
        <w:snapToGrid w:val="0"/>
        <w:spacing w:line="440" w:lineRule="exact"/>
        <w:ind w:firstLine="6240" w:firstLineChars="260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w:t>
      </w:r>
      <w:r>
        <w:rPr>
          <w:sz w:val="24"/>
        </w:rPr>
        <w:t>人民币元</w:t>
      </w:r>
    </w:p>
    <w:tbl>
      <w:tblPr>
        <w:tblW w:w="8999" w:type="dxa"/>
        <w:tblInd w:w="-5" w:type="dxa"/>
        <w:tblLayout w:type="fixed"/>
        <w:tblCellMar>
          <w:left w:w="30" w:type="dxa"/>
          <w:right w:w="30" w:type="dxa"/>
        </w:tblCellMar>
        <w:tblLook w:val="04A0"/>
      </w:tblPr>
      <w:tblGrid>
        <w:gridCol w:w="632"/>
        <w:gridCol w:w="3167"/>
        <w:gridCol w:w="2433"/>
        <w:gridCol w:w="2767"/>
      </w:tblGrid>
      <w:tr w14:paraId="35B72783" w14:textId="77777777">
        <w:tblPrEx>
          <w:tblW w:w="8999" w:type="dxa"/>
          <w:tblInd w:w="-5" w:type="dxa"/>
          <w:tblLayout w:type="fixed"/>
          <w:tblCellMar>
            <w:left w:w="30" w:type="dxa"/>
            <w:right w:w="30" w:type="dxa"/>
          </w:tblCellMar>
          <w:tblLook w:val="04A0"/>
        </w:tblPrEx>
        <w:trPr>
          <w:trHeight w:val="375"/>
        </w:trPr>
        <w:tc>
          <w:tcPr>
            <w:tcW w:w="632" w:type="dxa"/>
            <w:tcBorders>
              <w:top w:val="single" w:sz="4" w:space="0" w:color="auto"/>
              <w:left w:val="single" w:sz="4" w:space="0" w:color="auto"/>
              <w:bottom w:val="single" w:sz="4" w:space="0" w:color="auto"/>
              <w:right w:val="single" w:sz="4" w:space="0" w:color="auto"/>
            </w:tcBorders>
          </w:tcPr>
          <w:p w:rsidR="00751A16" w:rsidRPr="00D04B68" w14:paraId="1AF4701E"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序号</w:t>
            </w:r>
          </w:p>
        </w:tc>
        <w:tc>
          <w:tcPr>
            <w:tcW w:w="3167" w:type="dxa"/>
            <w:tcBorders>
              <w:top w:val="single" w:sz="4" w:space="0" w:color="auto"/>
              <w:left w:val="single" w:sz="4" w:space="0" w:color="auto"/>
              <w:bottom w:val="single" w:sz="4" w:space="0" w:color="auto"/>
              <w:right w:val="single" w:sz="4" w:space="0" w:color="auto"/>
            </w:tcBorders>
          </w:tcPr>
          <w:p w:rsidR="00751A16" w:rsidRPr="00D04B68" w14:paraId="2E7DEE37"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项目</w:t>
            </w:r>
          </w:p>
        </w:tc>
        <w:tc>
          <w:tcPr>
            <w:tcW w:w="2433" w:type="dxa"/>
            <w:tcBorders>
              <w:top w:val="single" w:sz="4" w:space="0" w:color="auto"/>
              <w:left w:val="single" w:sz="4" w:space="0" w:color="auto"/>
              <w:bottom w:val="single" w:sz="4" w:space="0" w:color="auto"/>
              <w:right w:val="single" w:sz="4" w:space="0" w:color="auto"/>
            </w:tcBorders>
          </w:tcPr>
          <w:p w:rsidR="00751A16" w:rsidRPr="00D04B68" w14:paraId="30287A1D"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金额（</w:t>
            </w:r>
            <w:r>
              <w:rPr>
                <w:sz w:val="24"/>
              </w:rPr>
              <w:t>元</w:t>
            </w:r>
            <w:r>
              <w:rPr>
                <w:sz w:val="24"/>
              </w:rPr>
              <w:t>）</w:t>
            </w:r>
          </w:p>
        </w:tc>
        <w:tc>
          <w:tcPr>
            <w:tcW w:w="2767" w:type="dxa"/>
            <w:tcBorders>
              <w:top w:val="single" w:sz="4" w:space="0" w:color="auto"/>
              <w:left w:val="single" w:sz="4" w:space="0" w:color="auto"/>
              <w:bottom w:val="single" w:sz="4" w:space="0" w:color="auto"/>
              <w:right w:val="single" w:sz="4" w:space="0" w:color="auto"/>
            </w:tcBorders>
          </w:tcPr>
          <w:p w:rsidR="00751A16" w:rsidRPr="00D04B68" w14:paraId="1BE184FA"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占资产净值比例（％）</w:t>
            </w:r>
          </w:p>
        </w:tc>
      </w:tr>
      <w:tr w14:paraId="3EECF6DB" w14:textId="77777777">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751A16" w:rsidRPr="00D04B68" w14:paraId="4E73AB60"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w:t>
            </w:r>
          </w:p>
        </w:tc>
        <w:tc>
          <w:tcPr>
            <w:tcW w:w="3167" w:type="dxa"/>
            <w:tcBorders>
              <w:top w:val="single" w:sz="4" w:space="0" w:color="auto"/>
              <w:left w:val="single" w:sz="4" w:space="0" w:color="auto"/>
              <w:bottom w:val="single" w:sz="4" w:space="0" w:color="auto"/>
              <w:right w:val="single" w:sz="4" w:space="0" w:color="auto"/>
            </w:tcBorders>
            <w:vAlign w:val="center"/>
          </w:tcPr>
          <w:p w:rsidR="00751A16" w:rsidRPr="00D04B68" w14:paraId="46825319"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报告期末质押式回购余额</w:t>
            </w:r>
          </w:p>
        </w:tc>
        <w:tc>
          <w:tcPr>
            <w:tcW w:w="2433" w:type="dxa"/>
            <w:tcBorders>
              <w:top w:val="single" w:sz="4" w:space="0" w:color="auto"/>
              <w:left w:val="single" w:sz="4" w:space="0" w:color="auto"/>
              <w:bottom w:val="single" w:sz="4" w:space="0" w:color="auto"/>
              <w:right w:val="single" w:sz="4" w:space="0" w:color="auto"/>
            </w:tcBorders>
            <w:vAlign w:val="center"/>
          </w:tcPr>
          <w:p w:rsidR="00751A16" w:rsidRPr="00D04B68" w14:paraId="10BABC07"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35,001,601.37</w:t>
            </w:r>
          </w:p>
        </w:tc>
        <w:tc>
          <w:tcPr>
            <w:tcW w:w="2767" w:type="dxa"/>
            <w:tcBorders>
              <w:top w:val="single" w:sz="4" w:space="0" w:color="auto"/>
              <w:left w:val="single" w:sz="4" w:space="0" w:color="auto"/>
              <w:bottom w:val="single" w:sz="4" w:space="0" w:color="auto"/>
              <w:right w:val="single" w:sz="4" w:space="0" w:color="auto"/>
            </w:tcBorders>
            <w:vAlign w:val="center"/>
          </w:tcPr>
          <w:p w:rsidR="00751A16" w:rsidRPr="00D04B68" w14:paraId="66CC1921"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10.02</w:t>
            </w:r>
          </w:p>
        </w:tc>
      </w:tr>
      <w:tr w14:paraId="3EECF6DB" w14:textId="77777777">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w:t>
            </w:r>
          </w:p>
        </w:tc>
        <w:tc>
          <w:tcPr>
            <w:tcW w:w="3167"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报告期末同业拆入余额</w:t>
            </w:r>
          </w:p>
        </w:tc>
        <w:tc>
          <w:tcPr>
            <w:tcW w:w="24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0.00</w:t>
            </w:r>
          </w:p>
        </w:tc>
        <w:tc>
          <w:tcPr>
            <w:tcW w:w="2767"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0.00</w:t>
            </w:r>
          </w:p>
        </w:tc>
      </w:tr>
      <w:tr w14:paraId="3EECF6DB" w14:textId="77777777">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w:t>
            </w:r>
          </w:p>
        </w:tc>
        <w:tc>
          <w:tcPr>
            <w:tcW w:w="3167"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其他</w:t>
            </w:r>
          </w:p>
        </w:tc>
        <w:tc>
          <w:tcPr>
            <w:tcW w:w="24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0.00</w:t>
            </w:r>
          </w:p>
        </w:tc>
        <w:tc>
          <w:tcPr>
            <w:tcW w:w="2767"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0.00</w:t>
            </w:r>
          </w:p>
        </w:tc>
      </w:tr>
    </w:tbl>
    <w:p w:rsidR="00751A16" w:rsidRPr="00D04B68" w14:paraId="23C710AB" w14:textId="77777777">
      <w:pPr>
        <w:adjustRightInd w:val="0"/>
        <w:snapToGrid w:val="0"/>
        <w:spacing w:line="440" w:lineRule="exact"/>
        <w:outlineLvl w:val="2"/>
        <w:rPr>
          <w:rFonts w:asciiTheme="minorEastAsia" w:eastAsiaTheme="minorEastAsia" w:hAnsiTheme="minorEastAsia" w:cs="仿宋" w:hint="eastAsia"/>
          <w:b/>
          <w:sz w:val="24"/>
        </w:rPr>
      </w:pPr>
      <w:bookmarkStart w:id="14" w:name="_Toc481074947"/>
      <w:bookmarkStart w:id="15" w:name="_Toc763043656"/>
      <w:r w:rsidRPr="00D04B68">
        <w:rPr>
          <w:rFonts w:asciiTheme="minorEastAsia" w:eastAsiaTheme="minorEastAsia" w:hAnsiTheme="minorEastAsia" w:cs="仿宋" w:hint="eastAsia"/>
          <w:b/>
          <w:sz w:val="24"/>
        </w:rPr>
        <w:t>4.</w:t>
      </w:r>
      <w:r w:rsidRPr="00D04B68">
        <w:rPr>
          <w:rFonts w:asciiTheme="minorEastAsia" w:eastAsiaTheme="minorEastAsia" w:hAnsiTheme="minorEastAsia" w:cs="仿宋"/>
          <w:b/>
          <w:sz w:val="24"/>
        </w:rPr>
        <w:t>7</w:t>
      </w:r>
      <w:r w:rsidRPr="00D04B68">
        <w:rPr>
          <w:rFonts w:asciiTheme="minorEastAsia" w:eastAsiaTheme="minorEastAsia" w:hAnsiTheme="minorEastAsia" w:cs="仿宋" w:hint="eastAsia"/>
          <w:b/>
          <w:sz w:val="24"/>
        </w:rPr>
        <w:t>报告期末投资非标准化债权资产</w:t>
      </w:r>
      <w:bookmarkEnd w:id="14"/>
      <w:r w:rsidRPr="00D04B68">
        <w:rPr>
          <w:rFonts w:asciiTheme="minorEastAsia" w:eastAsiaTheme="minorEastAsia" w:hAnsiTheme="minorEastAsia" w:cs="仿宋" w:hint="eastAsia"/>
          <w:b/>
          <w:sz w:val="24"/>
        </w:rPr>
        <w:t>情况</w:t>
      </w:r>
      <w:bookmarkEnd w:id="15"/>
    </w:p>
    <w:p w:rsidR="00751A16" w:rsidRPr="00D04B68" w14:paraId="26D7332F" w14:textId="77777777">
      <w:pPr>
        <w:adjustRightInd w:val="0"/>
        <w:snapToGrid w:val="0"/>
        <w:spacing w:line="380" w:lineRule="exact"/>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w:t>
      </w:r>
      <w:r>
        <w:rPr>
          <w:sz w:val="24"/>
        </w:rPr>
        <w:t>人民币元</w:t>
      </w:r>
    </w:p>
    <w:tbl>
      <w:tblPr>
        <w:tblW w:w="8994"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34"/>
        <w:gridCol w:w="1330"/>
        <w:gridCol w:w="1569"/>
        <w:gridCol w:w="1041"/>
        <w:gridCol w:w="1833"/>
        <w:gridCol w:w="802"/>
        <w:gridCol w:w="970"/>
        <w:gridCol w:w="815"/>
      </w:tblGrid>
      <w:tr w14:paraId="5036B144" w14:textId="77777777">
        <w:tblPrEx>
          <w:tblW w:w="8994"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paraId="28D35B5B"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 xml:space="preserve">序号 </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paraId="4F647E4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融资客户</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paraId="5D4C9FC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项目名称</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paraId="5F99EA5C"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资产到期日</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paraId="2EC0A231"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资产价值（</w:t>
            </w:r>
            <w:r>
              <w:rPr>
                <w:sz w:val="24"/>
              </w:rPr>
              <w:t>元</w:t>
            </w:r>
            <w:r>
              <w:rPr>
                <w:sz w:val="24"/>
              </w:rPr>
              <w:t>）</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paraId="2F1AF251"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交易结构</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paraId="37CECFF7" w14:textId="77777777">
            <w:pPr>
              <w:adjustRightInd w:val="0"/>
              <w:snapToGrid w:val="0"/>
              <w:jc w:val="center"/>
              <w:rPr>
                <w:rFonts w:asciiTheme="minorEastAsia" w:eastAsiaTheme="minorEastAsia" w:hAnsiTheme="minorEastAsia" w:cs="仿宋" w:hint="eastAsia"/>
                <w:color w:val="FF0000"/>
                <w:sz w:val="24"/>
              </w:rPr>
            </w:pPr>
            <w:r w:rsidRPr="00D04B68">
              <w:rPr>
                <w:rFonts w:asciiTheme="minorEastAsia" w:eastAsiaTheme="minorEastAsia" w:hAnsiTheme="minorEastAsia" w:cs="仿宋" w:hint="eastAsia"/>
                <w:sz w:val="24"/>
              </w:rPr>
              <w:t>收益分配方式</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paraId="140CF599"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风险状况</w:t>
            </w:r>
          </w:p>
        </w:tc>
      </w:tr>
    </w:tbl>
    <w:p w:rsidR="00751A16" w:rsidRPr="00D04B68" w14:paraId="374C1A20" w14:textId="77777777">
      <w:pPr>
        <w:adjustRightInd w:val="0"/>
        <w:snapToGrid w:val="0"/>
        <w:spacing w:line="380" w:lineRule="exact"/>
        <w:rPr>
          <w:rFonts w:asciiTheme="minorEastAsia" w:eastAsiaTheme="minorEastAsia" w:hAnsiTheme="minorEastAsia" w:cs="仿宋" w:hint="eastAsia"/>
          <w:color w:val="0000FF"/>
          <w:kern w:val="0"/>
          <w:sz w:val="24"/>
          <w:highlight w:val="yellow"/>
        </w:rPr>
      </w:pPr>
    </w:p>
    <w:p w:rsidR="00751A16" w:rsidRPr="00D04B68" w14:paraId="7D93081A"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16" w:name="_Toc1849870155"/>
      <w:r w:rsidRPr="00D04B68">
        <w:rPr>
          <w:rFonts w:asciiTheme="minorEastAsia" w:eastAsiaTheme="minorEastAsia" w:hAnsiTheme="minorEastAsia" w:cs="仿宋" w:hint="eastAsia"/>
          <w:sz w:val="24"/>
        </w:rPr>
        <w:t>§5 产品份额变动</w:t>
      </w:r>
      <w:bookmarkEnd w:id="16"/>
    </w:p>
    <w:p w:rsidR="00751A16" w:rsidRPr="00D04B68" w14:paraId="0CAABC6B" w14:textId="77777777">
      <w:pPr>
        <w:adjustRightInd w:val="0"/>
        <w:snapToGrid w:val="0"/>
        <w:spacing w:line="440" w:lineRule="exact"/>
        <w:ind w:firstLine="6240" w:firstLineChars="260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单位：份</w:t>
      </w:r>
    </w:p>
    <w:tbl>
      <w:tblPr>
        <w:tblW w:w="8987"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391"/>
        <w:gridCol w:w="4596"/>
      </w:tblGrid>
      <w:tr w14:paraId="45B54B19" w14:textId="77777777">
        <w:tblPrEx>
          <w:tblW w:w="8987"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4391" w:type="dxa"/>
            <w:tcBorders>
              <w:top w:val="single" w:sz="4" w:space="0" w:color="auto"/>
              <w:left w:val="single" w:sz="4" w:space="0" w:color="auto"/>
              <w:bottom w:val="single" w:sz="4" w:space="0" w:color="auto"/>
              <w:right w:val="single" w:sz="4" w:space="0" w:color="auto"/>
            </w:tcBorders>
          </w:tcPr>
          <w:p w:rsidR="00751A16" w:rsidRPr="00D04B68" w14:paraId="0D0B08CD" w14:textId="77777777">
            <w:pPr>
              <w:adjustRightInd w:val="0"/>
              <w:snapToGrid w:val="0"/>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报告期期初产品份额总额</w:t>
            </w:r>
          </w:p>
        </w:tc>
        <w:tc>
          <w:tcPr>
            <w:tcW w:w="4596" w:type="dxa"/>
            <w:tcBorders>
              <w:top w:val="single" w:sz="4" w:space="0" w:color="auto"/>
              <w:left w:val="single" w:sz="4" w:space="0" w:color="auto"/>
              <w:bottom w:val="single" w:sz="4" w:space="0" w:color="auto"/>
              <w:right w:val="single" w:sz="4" w:space="0" w:color="auto"/>
            </w:tcBorders>
          </w:tcPr>
          <w:p w:rsidR="00751A16" w:rsidRPr="00D04B68" w14:paraId="7B5D4F3A" w14:textId="77777777">
            <w:pPr>
              <w:adjustRightInd w:val="0"/>
              <w:snapToGrid w:val="0"/>
              <w:jc w:val="righ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343,123,087.11</w:t>
            </w:r>
          </w:p>
        </w:tc>
      </w:tr>
      <w:tr w14:paraId="70DE06BA" w14:textId="77777777">
        <w:tblPrEx>
          <w:tblW w:w="8987" w:type="dxa"/>
          <w:tblInd w:w="79" w:type="dxa"/>
          <w:tblLayout w:type="fixed"/>
          <w:tblLook w:val="04A0"/>
        </w:tblPrEx>
        <w:tc>
          <w:tcPr>
            <w:tcW w:w="4391" w:type="dxa"/>
            <w:tcBorders>
              <w:top w:val="single" w:sz="4" w:space="0" w:color="auto"/>
              <w:left w:val="single" w:sz="4" w:space="0" w:color="auto"/>
              <w:bottom w:val="single" w:sz="4" w:space="0" w:color="auto"/>
              <w:right w:val="single" w:sz="4" w:space="0" w:color="auto"/>
            </w:tcBorders>
          </w:tcPr>
          <w:p w:rsidR="00751A16" w:rsidRPr="00D04B68" w14:paraId="570ECEA1" w14:textId="77777777">
            <w:pPr>
              <w:adjustRightInd w:val="0"/>
              <w:snapToGrid w:val="0"/>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报告期期末产品份额总额</w:t>
            </w:r>
          </w:p>
        </w:tc>
        <w:tc>
          <w:tcPr>
            <w:tcW w:w="4596" w:type="dxa"/>
            <w:tcBorders>
              <w:top w:val="single" w:sz="4" w:space="0" w:color="auto"/>
              <w:left w:val="single" w:sz="4" w:space="0" w:color="auto"/>
              <w:bottom w:val="single" w:sz="4" w:space="0" w:color="auto"/>
              <w:right w:val="single" w:sz="4" w:space="0" w:color="auto"/>
            </w:tcBorders>
          </w:tcPr>
          <w:p w:rsidR="00751A16" w:rsidRPr="00D04B68" w14:paraId="6E19DA71" w14:textId="77777777">
            <w:pPr>
              <w:adjustRightInd w:val="0"/>
              <w:snapToGrid w:val="0"/>
              <w:jc w:val="righ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343,123,087.11</w:t>
            </w:r>
          </w:p>
        </w:tc>
      </w:tr>
    </w:tbl>
    <w:p w:rsidR="00751A16" w:rsidRPr="00D04B68" w14:paraId="10B4FA25" w14:textId="77777777">
      <w:pPr>
        <w:widowControl/>
        <w:adjustRightInd w:val="0"/>
        <w:snapToGrid w:val="0"/>
        <w:jc w:val="left"/>
        <w:rPr>
          <w:rFonts w:asciiTheme="minorEastAsia" w:eastAsiaTheme="minorEastAsia" w:hAnsiTheme="minorEastAsia" w:cs="仿宋" w:hint="eastAsia"/>
          <w:color w:val="404040"/>
          <w:kern w:val="0"/>
          <w:sz w:val="24"/>
        </w:rPr>
      </w:pPr>
    </w:p>
    <w:p w:rsidR="00751A16" w:rsidRPr="00D04B68" w14:paraId="09ED1890"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17" w:name="_Toc1646937466"/>
      <w:r w:rsidRPr="00D04B68">
        <w:rPr>
          <w:rFonts w:asciiTheme="minorEastAsia" w:eastAsiaTheme="minorEastAsia" w:hAnsiTheme="minorEastAsia" w:cs="仿宋" w:hint="eastAsia"/>
          <w:sz w:val="24"/>
        </w:rPr>
        <w:t>§6 托管人报告</w:t>
      </w:r>
      <w:bookmarkEnd w:id="17"/>
    </w:p>
    <w:p w:rsidR="00751A16" w:rsidRPr="00D04B68" w14:paraId="67D40BD9"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本报告期内，</w:t>
      </w:r>
      <w:r>
        <w:rPr>
          <w:sz w:val="24"/>
        </w:rPr>
        <w:t>杭州银行股份有限公司</w:t>
      </w:r>
      <w:r w:rsidRPr="00D04B68">
        <w:rPr>
          <w:rFonts w:asciiTheme="minorEastAsia" w:eastAsiaTheme="minorEastAsia" w:hAnsiTheme="minorEastAsia" w:cs="仿宋" w:hint="eastAsia"/>
          <w:sz w:val="24"/>
        </w:rPr>
        <w:t>（以下简称“本托管人”）在对本产品的托管过程中，严格遵守了《关于规范金融机构资产管理业务的指导意见》《商业银行理财业务监督管理办法》《商业银行理财子公司管理办法》等相关法律法规、托管协议的规定，依法安全保管了本产品的全部资产，对本产品的投资运作进行了认真、独立的会计核算和必要的投资监督，没有从事任何损害产品份额持有人利益的行为，诚实信用、勤勉尽责地履行了托管人应尽的义务。</w:t>
      </w:r>
    </w:p>
    <w:p w:rsidR="00751A16" w:rsidRPr="00D04B68" w14:paraId="4CD7853C"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本托管人复核了本产品报告中的财务指标、净值表现和投资组合报告等内容。经复核，本产品报告中披露的理财产品财务数据核对一致。</w:t>
      </w:r>
    </w:p>
    <w:p w:rsidR="00751A16" w:rsidRPr="00D04B68" w14:paraId="031F1CE0" w14:textId="77777777">
      <w:pPr>
        <w:adjustRightInd w:val="0"/>
        <w:snapToGrid w:val="0"/>
        <w:rPr>
          <w:rFonts w:asciiTheme="minorEastAsia" w:eastAsiaTheme="minorEastAsia" w:hAnsiTheme="minorEastAsia" w:cs="仿宋" w:hint="eastAsia"/>
          <w:bCs/>
          <w:sz w:val="24"/>
        </w:rPr>
      </w:pPr>
    </w:p>
    <w:p w:rsidR="00751A16" w:rsidRPr="00D04B68" w14:paraId="5BA37B31"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18" w:name="_Toc1161264879"/>
      <w:r w:rsidRPr="00D04B68">
        <w:rPr>
          <w:rFonts w:asciiTheme="minorEastAsia" w:eastAsiaTheme="minorEastAsia" w:hAnsiTheme="minorEastAsia" w:cs="仿宋" w:hint="eastAsia"/>
          <w:sz w:val="24"/>
        </w:rPr>
        <w:t>§7 报告期内关联交易情况</w:t>
      </w:r>
      <w:bookmarkEnd w:id="18"/>
    </w:p>
    <w:p w:rsidR="00751A16" w:rsidRPr="00D04B68" w14:paraId="29B9DB06" w14:textId="77777777">
      <w:pPr>
        <w:adjustRightInd w:val="0"/>
        <w:snapToGrid w:val="0"/>
        <w:spacing w:line="440" w:lineRule="exact"/>
        <w:outlineLvl w:val="2"/>
        <w:rPr>
          <w:rFonts w:asciiTheme="minorEastAsia" w:eastAsiaTheme="minorEastAsia" w:hAnsiTheme="minorEastAsia" w:cs="仿宋" w:hint="eastAsia"/>
          <w:b/>
          <w:sz w:val="24"/>
        </w:rPr>
      </w:pPr>
      <w:bookmarkStart w:id="19" w:name="_Toc1047437417"/>
      <w:r w:rsidRPr="00D04B68">
        <w:rPr>
          <w:rFonts w:asciiTheme="minorEastAsia" w:eastAsiaTheme="minorEastAsia" w:hAnsiTheme="minorEastAsia" w:cs="仿宋" w:hint="eastAsia"/>
          <w:b/>
          <w:sz w:val="24"/>
        </w:rPr>
        <w:t>7.1 产品投资于关联</w:t>
      </w:r>
      <w:r w:rsidRPr="00D04B68">
        <w:rPr>
          <w:rFonts w:asciiTheme="minorEastAsia" w:eastAsiaTheme="minorEastAsia" w:hAnsiTheme="minorEastAsia" w:cs="仿宋" w:hint="eastAsia"/>
          <w:b/>
          <w:sz w:val="24"/>
        </w:rPr>
        <w:t>方发行</w:t>
      </w:r>
      <w:r w:rsidRPr="00D04B68">
        <w:rPr>
          <w:rFonts w:asciiTheme="minorEastAsia" w:eastAsiaTheme="minorEastAsia" w:hAnsiTheme="minorEastAsia" w:cs="仿宋" w:hint="eastAsia"/>
          <w:b/>
          <w:sz w:val="24"/>
        </w:rPr>
        <w:t>或承销的证券、资产管理产品，或其他关联交易</w:t>
      </w:r>
      <w:bookmarkEnd w:id="19"/>
    </w:p>
    <w:p w:rsidR="00751A16" w:rsidRPr="00D04B68" w14:paraId="5A1445F3" w14:textId="77777777">
      <w:pPr>
        <w:adjustRightInd w:val="0"/>
        <w:snapToGrid w:val="0"/>
        <w:spacing w:line="440" w:lineRule="exact"/>
        <w:ind w:firstLine="6240" w:firstLineChars="2600"/>
        <w:jc w:val="right"/>
        <w:rPr>
          <w:rFonts w:asciiTheme="minorEastAsia" w:eastAsiaTheme="minorEastAsia" w:hAnsiTheme="minorEastAsia" w:cs="仿宋" w:hint="eastAsia"/>
          <w:b/>
          <w:sz w:val="24"/>
        </w:rPr>
      </w:pPr>
      <w:r w:rsidRPr="00D04B68">
        <w:rPr>
          <w:rFonts w:asciiTheme="minorEastAsia" w:eastAsiaTheme="minorEastAsia" w:hAnsiTheme="minorEastAsia" w:cs="仿宋" w:hint="eastAsia"/>
          <w:sz w:val="24"/>
        </w:rPr>
        <w:t>单位：</w:t>
      </w:r>
      <w:r>
        <w:rPr>
          <w:sz w:val="24"/>
        </w:rPr>
        <w:t>元</w:t>
      </w:r>
      <w:r>
        <w:rPr>
          <w:sz w:val="24"/>
        </w:rPr>
        <w:t>、份</w:t>
      </w:r>
    </w:p>
    <w:tbl>
      <w:tblPr>
        <w:tblStyle w:val="TableGrid"/>
        <w:tblW w:w="8994" w:type="dxa"/>
        <w:tblInd w:w="67" w:type="dxa"/>
        <w:tblLayout w:type="fixed"/>
        <w:tblLook w:val="04A0"/>
      </w:tblPr>
      <w:tblGrid>
        <w:gridCol w:w="634"/>
        <w:gridCol w:w="1605"/>
        <w:gridCol w:w="1401"/>
        <w:gridCol w:w="791"/>
        <w:gridCol w:w="754"/>
        <w:gridCol w:w="1904"/>
        <w:gridCol w:w="1905"/>
      </w:tblGrid>
      <w:tr w14:paraId="4DF4C845" w14:textId="77777777">
        <w:tblPrEx>
          <w:tblW w:w="8994" w:type="dxa"/>
          <w:tblInd w:w="67" w:type="dxa"/>
          <w:tblLayout w:type="fixed"/>
          <w:tblLook w:val="04A0"/>
        </w:tblPrEx>
        <w:trPr>
          <w:trHeight w:val="90"/>
        </w:trPr>
        <w:tc>
          <w:tcPr>
            <w:tcW w:w="634" w:type="dxa"/>
            <w:vAlign w:val="center"/>
          </w:tcPr>
          <w:p w:rsidR="00751A16" w:rsidRPr="00D04B68" w14:paraId="56CC7423"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序号</w:t>
            </w:r>
          </w:p>
        </w:tc>
        <w:tc>
          <w:tcPr>
            <w:tcW w:w="1605" w:type="dxa"/>
            <w:vAlign w:val="center"/>
          </w:tcPr>
          <w:p w:rsidR="00751A16" w:rsidRPr="00D04B68" w14:paraId="7C903C07"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关联方</w:t>
            </w:r>
          </w:p>
        </w:tc>
        <w:tc>
          <w:tcPr>
            <w:tcW w:w="1401" w:type="dxa"/>
            <w:vAlign w:val="center"/>
          </w:tcPr>
          <w:p w:rsidR="00751A16" w:rsidRPr="00D04B68" w14:paraId="445BC62A"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资产名称</w:t>
            </w:r>
          </w:p>
        </w:tc>
        <w:tc>
          <w:tcPr>
            <w:tcW w:w="791" w:type="dxa"/>
            <w:vAlign w:val="center"/>
          </w:tcPr>
          <w:p w:rsidR="00751A16" w:rsidRPr="00D04B68" w14:paraId="0FCE0936"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资产类型</w:t>
            </w:r>
          </w:p>
        </w:tc>
        <w:tc>
          <w:tcPr>
            <w:tcW w:w="754" w:type="dxa"/>
            <w:vAlign w:val="center"/>
          </w:tcPr>
          <w:p w:rsidR="00751A16" w:rsidRPr="00D04B68" w14:paraId="6E4408D3"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交易类型</w:t>
            </w:r>
          </w:p>
        </w:tc>
        <w:tc>
          <w:tcPr>
            <w:tcW w:w="1904" w:type="dxa"/>
            <w:vAlign w:val="center"/>
          </w:tcPr>
          <w:p w:rsidR="00751A16" w:rsidRPr="00D04B68" w14:paraId="431366EF"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交易金额（</w:t>
            </w:r>
            <w:r w:rsidRPr="00D04B68">
              <w:rPr>
                <w:rFonts w:asciiTheme="minorEastAsia" w:eastAsiaTheme="minorEastAsia" w:hAnsiTheme="minorEastAsia" w:cs="仿宋" w:hint="eastAsia"/>
                <w:sz w:val="24"/>
              </w:rPr>
              <w:t>元</w:t>
            </w:r>
            <w:r w:rsidRPr="00D04B68">
              <w:rPr>
                <w:rFonts w:asciiTheme="minorEastAsia" w:eastAsiaTheme="minorEastAsia" w:hAnsiTheme="minorEastAsia" w:cs="仿宋" w:hint="eastAsia"/>
                <w:color w:val="000000"/>
                <w:kern w:val="0"/>
                <w:sz w:val="24"/>
              </w:rPr>
              <w:t>）</w:t>
            </w:r>
          </w:p>
        </w:tc>
        <w:tc>
          <w:tcPr>
            <w:tcW w:w="1905" w:type="dxa"/>
            <w:vAlign w:val="center"/>
          </w:tcPr>
          <w:p w:rsidR="00751A16" w:rsidRPr="00D04B68" w14:paraId="5A60C866"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份额</w:t>
            </w:r>
          </w:p>
        </w:tc>
      </w:tr>
    </w:tbl>
    <w:p w:rsidR="00751A16" w:rsidRPr="00D04B68" w14:paraId="6D343DA2" w14:textId="77777777">
      <w:pPr>
        <w:adjustRightInd w:val="0"/>
        <w:snapToGrid w:val="0"/>
        <w:spacing w:line="440" w:lineRule="exact"/>
        <w:outlineLvl w:val="2"/>
        <w:rPr>
          <w:rFonts w:asciiTheme="minorEastAsia" w:eastAsiaTheme="minorEastAsia" w:hAnsiTheme="minorEastAsia" w:cs="仿宋" w:hint="eastAsia"/>
          <w:b/>
          <w:sz w:val="24"/>
        </w:rPr>
      </w:pPr>
      <w:bookmarkStart w:id="20" w:name="_Toc1357213060"/>
      <w:r w:rsidRPr="00D04B68">
        <w:rPr>
          <w:rFonts w:asciiTheme="minorEastAsia" w:eastAsiaTheme="minorEastAsia" w:hAnsiTheme="minorEastAsia" w:cs="仿宋" w:hint="eastAsia"/>
          <w:b/>
          <w:sz w:val="24"/>
        </w:rPr>
        <w:t>7.2 产品向关联方支付的费用</w:t>
      </w:r>
      <w:bookmarkEnd w:id="20"/>
    </w:p>
    <w:tbl>
      <w:tblPr>
        <w:tblStyle w:val="TableGrid"/>
        <w:tblW w:w="8994" w:type="dxa"/>
        <w:tblInd w:w="67" w:type="dxa"/>
        <w:tblLayout w:type="fixed"/>
        <w:tblLook w:val="04A0"/>
      </w:tblPr>
      <w:tblGrid>
        <w:gridCol w:w="694"/>
        <w:gridCol w:w="2958"/>
        <w:gridCol w:w="2202"/>
        <w:gridCol w:w="3140"/>
      </w:tblGrid>
      <w:tr w14:paraId="4BB5BF16" w14:textId="77777777">
        <w:tblPrEx>
          <w:tblW w:w="8994" w:type="dxa"/>
          <w:tblInd w:w="67" w:type="dxa"/>
          <w:tblLayout w:type="fixed"/>
          <w:tblLook w:val="04A0"/>
        </w:tblPrEx>
        <w:tc>
          <w:tcPr>
            <w:tcW w:w="694" w:type="dxa"/>
          </w:tcPr>
          <w:p w:rsidR="00751A16" w:rsidRPr="00D04B68" w14:paraId="082D5708"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序号</w:t>
            </w:r>
          </w:p>
        </w:tc>
        <w:tc>
          <w:tcPr>
            <w:tcW w:w="2958" w:type="dxa"/>
            <w:vAlign w:val="center"/>
          </w:tcPr>
          <w:p w:rsidR="00751A16" w:rsidRPr="00D04B68" w14:paraId="4E708607"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关联方</w:t>
            </w:r>
          </w:p>
        </w:tc>
        <w:tc>
          <w:tcPr>
            <w:tcW w:w="2202" w:type="dxa"/>
            <w:vAlign w:val="center"/>
          </w:tcPr>
          <w:p w:rsidR="00751A16" w:rsidRPr="00D04B68" w14:paraId="4DD29641"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费用类型</w:t>
            </w:r>
          </w:p>
        </w:tc>
        <w:tc>
          <w:tcPr>
            <w:tcW w:w="3140" w:type="dxa"/>
            <w:vAlign w:val="center"/>
          </w:tcPr>
          <w:p w:rsidR="00751A16" w:rsidRPr="00D04B68" w14:paraId="22DB220B"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交易金额（</w:t>
            </w:r>
            <w:r w:rsidRPr="00D04B68">
              <w:rPr>
                <w:rFonts w:asciiTheme="minorEastAsia" w:eastAsiaTheme="minorEastAsia" w:hAnsiTheme="minorEastAsia" w:cs="仿宋" w:hint="eastAsia"/>
                <w:sz w:val="24"/>
              </w:rPr>
              <w:t>元</w:t>
            </w:r>
            <w:r w:rsidRPr="00D04B68">
              <w:rPr>
                <w:rFonts w:asciiTheme="minorEastAsia" w:eastAsiaTheme="minorEastAsia" w:hAnsiTheme="minorEastAsia" w:cs="仿宋" w:hint="eastAsia"/>
                <w:color w:val="000000"/>
                <w:kern w:val="0"/>
                <w:sz w:val="24"/>
              </w:rPr>
              <w:t>）</w:t>
            </w:r>
          </w:p>
        </w:tc>
      </w:tr>
    </w:tbl>
    <w:p w:rsidR="00751A16" w:rsidRPr="00D04B68" w14:paraId="5017A0E5" w14:textId="77777777">
      <w:pPr>
        <w:widowControl/>
        <w:adjustRightInd w:val="0"/>
        <w:snapToGrid w:val="0"/>
        <w:ind w:firstLine="480" w:firstLineChars="200"/>
        <w:jc w:val="left"/>
        <w:rPr>
          <w:rFonts w:asciiTheme="minorEastAsia" w:eastAsiaTheme="minorEastAsia" w:hAnsiTheme="minorEastAsia" w:cs="仿宋" w:hint="eastAsia"/>
          <w:color w:val="404040"/>
          <w:kern w:val="0"/>
          <w:sz w:val="24"/>
        </w:rPr>
      </w:pPr>
    </w:p>
    <w:p w:rsidR="00751A16" w:rsidRPr="00D04B68" w14:paraId="358440B1" w14:textId="77777777">
      <w:pPr>
        <w:pStyle w:val="Heading2"/>
        <w:adjustRightInd w:val="0"/>
        <w:snapToGrid w:val="0"/>
        <w:spacing w:line="560" w:lineRule="atLeast"/>
        <w:jc w:val="center"/>
        <w:rPr>
          <w:rFonts w:asciiTheme="minorEastAsia" w:eastAsiaTheme="minorEastAsia" w:hAnsiTheme="minorEastAsia" w:cs="仿宋" w:hint="eastAsia"/>
          <w:bCs/>
          <w:sz w:val="24"/>
        </w:rPr>
      </w:pPr>
      <w:bookmarkStart w:id="21" w:name="_Toc108600986"/>
      <w:r w:rsidRPr="00D04B68">
        <w:rPr>
          <w:rFonts w:asciiTheme="minorEastAsia" w:eastAsiaTheme="minorEastAsia" w:hAnsiTheme="minorEastAsia" w:cs="仿宋" w:hint="eastAsia"/>
          <w:bCs/>
          <w:sz w:val="24"/>
        </w:rPr>
        <w:t>§</w:t>
      </w:r>
      <w:r w:rsidRPr="00D04B68">
        <w:rPr>
          <w:rFonts w:asciiTheme="minorEastAsia" w:eastAsiaTheme="minorEastAsia" w:hAnsiTheme="minorEastAsia" w:cs="仿宋"/>
          <w:bCs/>
          <w:sz w:val="24"/>
        </w:rPr>
        <w:t>8</w:t>
      </w:r>
      <w:r w:rsidRPr="00D04B68">
        <w:rPr>
          <w:rFonts w:asciiTheme="minorEastAsia" w:eastAsiaTheme="minorEastAsia" w:hAnsiTheme="minorEastAsia" w:cs="仿宋" w:hint="eastAsia"/>
          <w:bCs/>
          <w:sz w:val="24"/>
        </w:rPr>
        <w:t xml:space="preserve"> 投资账户信息</w:t>
      </w:r>
      <w:bookmarkEnd w:id="21"/>
    </w:p>
    <w:p w:rsidR="00751A16" w:rsidRPr="00D04B68" w14:paraId="2DB2956D" w14:textId="77777777">
      <w:pPr>
        <w:rPr>
          <w:rFonts w:asciiTheme="minorEastAsia" w:eastAsiaTheme="minorEastAsia" w:hAnsiTheme="minorEastAsia" w:hint="eastAsia"/>
        </w:rPr>
      </w:pPr>
    </w:p>
    <w:tbl>
      <w:tblPr>
        <w:tblStyle w:val="TableGrid"/>
        <w:tblW w:w="8983" w:type="dxa"/>
        <w:tblInd w:w="65" w:type="dxa"/>
        <w:tblLayout w:type="fixed"/>
        <w:tblLook w:val="04A0"/>
      </w:tblPr>
      <w:tblGrid>
        <w:gridCol w:w="2487"/>
        <w:gridCol w:w="6496"/>
      </w:tblGrid>
      <w:tr w14:paraId="1DD1AF4F" w14:textId="77777777">
        <w:tblPrEx>
          <w:tblW w:w="8983" w:type="dxa"/>
          <w:tblInd w:w="65" w:type="dxa"/>
          <w:tblLayout w:type="fixed"/>
          <w:tblLook w:val="04A0"/>
        </w:tblPrEx>
        <w:trPr>
          <w:trHeight w:val="216"/>
        </w:trPr>
        <w:tc>
          <w:tcPr>
            <w:tcW w:w="2487" w:type="dxa"/>
          </w:tcPr>
          <w:p w:rsidR="00751A16" w:rsidRPr="00D04B68" w14:paraId="371B493F"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户名</w:t>
            </w:r>
          </w:p>
        </w:tc>
        <w:tc>
          <w:tcPr>
            <w:tcW w:w="6496" w:type="dxa"/>
          </w:tcPr>
          <w:p w:rsidR="00751A16" w:rsidRPr="00D04B68" w14:paraId="2CD5B6C7"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杭银理财有限责任公司幸福99年添益开放式第2003期</w:t>
            </w:r>
          </w:p>
        </w:tc>
      </w:tr>
      <w:tr w14:paraId="667E95AC" w14:textId="77777777">
        <w:tblPrEx>
          <w:tblW w:w="8983" w:type="dxa"/>
          <w:tblInd w:w="65" w:type="dxa"/>
          <w:tblLayout w:type="fixed"/>
          <w:tblLook w:val="04A0"/>
        </w:tblPrEx>
        <w:trPr>
          <w:trHeight w:val="179"/>
        </w:trPr>
        <w:tc>
          <w:tcPr>
            <w:tcW w:w="2487" w:type="dxa"/>
          </w:tcPr>
          <w:p w:rsidR="00751A16" w:rsidRPr="00D04B68" w14:paraId="103F3A53"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账号</w:t>
            </w:r>
          </w:p>
        </w:tc>
        <w:tc>
          <w:tcPr>
            <w:tcW w:w="6496" w:type="dxa"/>
          </w:tcPr>
          <w:p w:rsidR="00751A16" w:rsidRPr="00D04B68" w14:paraId="64AD46B6"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3301040160015309811-522003</w:t>
            </w:r>
          </w:p>
        </w:tc>
      </w:tr>
      <w:tr w14:paraId="0630AE46" w14:textId="77777777">
        <w:tblPrEx>
          <w:tblW w:w="8983" w:type="dxa"/>
          <w:tblInd w:w="65" w:type="dxa"/>
          <w:tblLayout w:type="fixed"/>
          <w:tblLook w:val="04A0"/>
        </w:tblPrEx>
        <w:trPr>
          <w:trHeight w:val="163"/>
        </w:trPr>
        <w:tc>
          <w:tcPr>
            <w:tcW w:w="2487" w:type="dxa"/>
          </w:tcPr>
          <w:p w:rsidR="00751A16" w:rsidRPr="00D04B68" w14:paraId="2140D45B"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开户行</w:t>
            </w:r>
          </w:p>
        </w:tc>
        <w:tc>
          <w:tcPr>
            <w:tcW w:w="6496" w:type="dxa"/>
          </w:tcPr>
          <w:p w:rsidR="00751A16" w:rsidRPr="00D04B68" w14:paraId="4F1F7DFA"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杭州银行股份有限公司营业部</w:t>
            </w:r>
          </w:p>
        </w:tc>
      </w:tr>
    </w:tbl>
    <w:p w:rsidR="00751A16" w:rsidRPr="00D04B68" w14:paraId="149A6DBA" w14:textId="77777777">
      <w:pPr>
        <w:widowControl/>
        <w:adjustRightInd w:val="0"/>
        <w:snapToGrid w:val="0"/>
        <w:ind w:firstLine="480" w:firstLineChars="200"/>
        <w:jc w:val="left"/>
        <w:rPr>
          <w:rFonts w:asciiTheme="minorEastAsia" w:eastAsiaTheme="minorEastAsia" w:hAnsiTheme="minorEastAsia" w:cs="仿宋" w:hint="eastAsia"/>
          <w:color w:val="404040"/>
          <w:kern w:val="0"/>
          <w:sz w:val="24"/>
        </w:rPr>
      </w:pPr>
    </w:p>
    <w:p w:rsidR="00751A16" w:rsidRPr="00D04B68" w14:paraId="03703830" w14:textId="77777777">
      <w:pPr>
        <w:ind w:left="360"/>
        <w:jc w:val="right"/>
        <w:rPr>
          <w:rFonts w:asciiTheme="minorEastAsia" w:eastAsiaTheme="minorEastAsia" w:hAnsiTheme="minorEastAsia" w:cs="仿宋" w:hint="eastAsia"/>
          <w:sz w:val="24"/>
        </w:rPr>
      </w:pPr>
    </w:p>
    <w:p w:rsidR="00751A16" w:rsidRPr="00D04B68" w14:paraId="03284516" w14:textId="77777777">
      <w:pPr>
        <w:ind w:left="36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杭银理财</w:t>
      </w:r>
      <w:r w:rsidRPr="00D04B68">
        <w:rPr>
          <w:rFonts w:asciiTheme="minorEastAsia" w:eastAsiaTheme="minorEastAsia" w:hAnsiTheme="minorEastAsia" w:cs="仿宋" w:hint="eastAsia"/>
          <w:sz w:val="24"/>
        </w:rPr>
        <w:t>有限责任公司</w:t>
      </w:r>
    </w:p>
    <w:p w:rsidR="00751A16" w:rsidRPr="00C7299D" w:rsidP="00C7299D" w14:paraId="69E97946" w14:textId="30F8E132">
      <w:pPr>
        <w:jc w:val="right"/>
        <w:rPr>
          <w:rFonts w:asciiTheme="minorEastAsia" w:eastAsiaTheme="minorEastAsia" w:hAnsiTheme="minorEastAsia" w:hint="eastAsia"/>
          <w:sz w:val="24"/>
        </w:rPr>
      </w:pPr>
      <w:r w:rsidRPr="00D04B68">
        <w:rPr>
          <w:rFonts w:asciiTheme="minorEastAsia" w:eastAsiaTheme="minorEastAsia" w:hAnsiTheme="minorEastAsia" w:cs="仿宋" w:hint="eastAsia"/>
          <w:sz w:val="24"/>
        </w:rPr>
        <w:t>2026年7月30日</w:t>
      </w:r>
    </w:p>
    <w:sectPr>
      <w:headerReference w:type="default" r:id="rId5"/>
      <w:pgSz w:w="11906" w:h="16838"/>
      <w:pgMar w:top="2551" w:right="1803" w:bottom="2551" w:left="1803" w:header="851" w:footer="992" w:gutter="0"/>
      <w:cols w:space="720"/>
      <w:docGrid w:type="lines" w:linePitch="317"/>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方正仿宋简体">
    <w:altName w:val="微软雅黑"/>
    <w:charset w:val="86"/>
    <w:family w:val="roman"/>
    <w:pitch w:val="default"/>
    <w:sig w:usb0="00000000" w:usb1="00000000" w:usb2="00000000" w:usb3="00000000" w:csb0="00040000" w:csb1="00000000"/>
  </w:font>
  <w:font w:name="方正楷体简体">
    <w:altName w:val="宋体"/>
    <w:charset w:val="86"/>
    <w:family w:val="auto"/>
    <w:pitch w:val="default"/>
    <w:sig w:usb0="00000000" w:usb1="00000000" w:usb2="00000010" w:usb3="00000000" w:csb0="00040000" w:csb1="00000000"/>
  </w:font>
  <w:font w:name="仿宋_GB2312">
    <w:altName w:val="仿宋"/>
    <w:charset w:val="86"/>
    <w:family w:val="modern"/>
    <w:pitch w:val="default"/>
    <w:sig w:usb0="00000000" w:usb1="00000000" w:usb2="0000000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751A16" w14:paraId="3F614973" w14:textId="77777777">
    <w:pPr>
      <w:pStyle w:val="Header"/>
      <w:rPr>
        <w:rFonts w:hint="eastAsia"/>
      </w:rPr>
    </w:pPr>
    <w:r>
      <w:rPr>
        <w:noProof/>
      </w:rPr>
      <w:drawing>
        <wp:anchor distT="0" distB="0" distL="114300" distR="114300" simplePos="0" relativeHeight="251658240" behindDoc="1" locked="0" layoutInCell="1" allowOverlap="1">
          <wp:simplePos x="0" y="0"/>
          <wp:positionH relativeFrom="margin">
            <wp:align>center</wp:align>
          </wp:positionH>
          <wp:positionV relativeFrom="margin">
            <wp:align>center</wp:align>
          </wp:positionV>
          <wp:extent cx="7543800" cy="10671810"/>
          <wp:effectExtent l="0" t="0" r="0" b="15240"/>
          <wp:wrapNone/>
          <wp:docPr id="1" name="WordPictureWatermark140627" descr="微信图片_202208171443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140627" descr="微信图片_20220817144322"/>
                  <pic:cNvPicPr>
                    <a:picLocks noChangeAspect="1"/>
                  </pic:cNvPicPr>
                </pic:nvPicPr>
                <pic:blipFill>
                  <a:blip xmlns:r="http://schemas.openxmlformats.org/officeDocument/2006/relationships" r:embed="rId1"/>
                  <a:stretch>
                    <a:fillRect/>
                  </a:stretch>
                </pic:blipFill>
                <pic:spPr>
                  <a:xfrm>
                    <a:off x="0" y="0"/>
                    <a:ext cx="7543800" cy="10671810"/>
                  </a:xfrm>
                  <a:prstGeom prst="rect">
                    <a:avLst/>
                  </a:prstGeom>
                  <a:noFill/>
                  <a:ln>
                    <a:noFill/>
                  </a:ln>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Setting w:name="differentiateMultirowTableHeaders" w:uri="http://schemas.microsoft.com/office/word" w:val="1"/>
  </w:compat>
  <w:rsids>
    <w:rsidRoot w:val="00AA1E04"/>
    <w:rsid w:val="AFAD1E65"/>
    <w:rsid w:val="B7F99B83"/>
    <w:rsid w:val="DCF872B1"/>
    <w:rsid w:val="F5F71F57"/>
    <w:rsid w:val="F6F838A1"/>
    <w:rsid w:val="F7FB3A2D"/>
    <w:rsid w:val="FF7F2273"/>
    <w:rsid w:val="FFF2E0ED"/>
    <w:rsid w:val="00017702"/>
    <w:rsid w:val="000F2819"/>
    <w:rsid w:val="00134D0D"/>
    <w:rsid w:val="00193057"/>
    <w:rsid w:val="001F6316"/>
    <w:rsid w:val="00205A23"/>
    <w:rsid w:val="00260BF6"/>
    <w:rsid w:val="002F014C"/>
    <w:rsid w:val="003D3797"/>
    <w:rsid w:val="004458C8"/>
    <w:rsid w:val="00461C5A"/>
    <w:rsid w:val="00475B00"/>
    <w:rsid w:val="005C07DA"/>
    <w:rsid w:val="005F727E"/>
    <w:rsid w:val="006328B0"/>
    <w:rsid w:val="00672142"/>
    <w:rsid w:val="006C1F4E"/>
    <w:rsid w:val="006E38F7"/>
    <w:rsid w:val="006F774D"/>
    <w:rsid w:val="00751A16"/>
    <w:rsid w:val="00761119"/>
    <w:rsid w:val="007631D5"/>
    <w:rsid w:val="007D2EBE"/>
    <w:rsid w:val="007D72E4"/>
    <w:rsid w:val="00800B2E"/>
    <w:rsid w:val="00815E4F"/>
    <w:rsid w:val="0082523D"/>
    <w:rsid w:val="00886687"/>
    <w:rsid w:val="00990402"/>
    <w:rsid w:val="00A63151"/>
    <w:rsid w:val="00AA1E04"/>
    <w:rsid w:val="00AB1208"/>
    <w:rsid w:val="00B43FDA"/>
    <w:rsid w:val="00BC29D8"/>
    <w:rsid w:val="00C30F1B"/>
    <w:rsid w:val="00C7299D"/>
    <w:rsid w:val="00CA2B83"/>
    <w:rsid w:val="00CE5B30"/>
    <w:rsid w:val="00D04B68"/>
    <w:rsid w:val="00D06F63"/>
    <w:rsid w:val="00D47532"/>
    <w:rsid w:val="00EE58CB"/>
    <w:rsid w:val="00FB089E"/>
    <w:rsid w:val="00FC3FEB"/>
    <w:rsid w:val="0281406F"/>
    <w:rsid w:val="04F90740"/>
    <w:rsid w:val="0BA02BFF"/>
    <w:rsid w:val="0D276FB6"/>
    <w:rsid w:val="0F1B1610"/>
    <w:rsid w:val="0F467395"/>
    <w:rsid w:val="11B304D2"/>
    <w:rsid w:val="134F425C"/>
    <w:rsid w:val="18306633"/>
    <w:rsid w:val="1B00023D"/>
    <w:rsid w:val="1EBA48BA"/>
    <w:rsid w:val="1F1B4E17"/>
    <w:rsid w:val="24474193"/>
    <w:rsid w:val="308B2C34"/>
    <w:rsid w:val="35CE5CC4"/>
    <w:rsid w:val="3DA52D7D"/>
    <w:rsid w:val="41377245"/>
    <w:rsid w:val="41DC4D17"/>
    <w:rsid w:val="430638E4"/>
    <w:rsid w:val="44D92303"/>
    <w:rsid w:val="455F2458"/>
    <w:rsid w:val="47DE7A2F"/>
    <w:rsid w:val="48D23207"/>
    <w:rsid w:val="4D1E00DE"/>
    <w:rsid w:val="4DEBD764"/>
    <w:rsid w:val="4FB86BC8"/>
    <w:rsid w:val="4FC34482"/>
    <w:rsid w:val="50895907"/>
    <w:rsid w:val="510B520C"/>
    <w:rsid w:val="51D66B08"/>
    <w:rsid w:val="52C05AE2"/>
    <w:rsid w:val="53197A4B"/>
    <w:rsid w:val="5A5A130E"/>
    <w:rsid w:val="5C722391"/>
    <w:rsid w:val="6087643C"/>
    <w:rsid w:val="6283238F"/>
    <w:rsid w:val="67146183"/>
    <w:rsid w:val="67272BEB"/>
    <w:rsid w:val="6BD40231"/>
    <w:rsid w:val="70496C0D"/>
    <w:rsid w:val="707D02CF"/>
    <w:rsid w:val="77A17847"/>
    <w:rsid w:val="7A9E1EC8"/>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14:docId w14:val="4A8F283C"/>
  <w15:docId w15:val="{1D255A89-98F8-4063-871F-86820E95DA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等线" w:eastAsia="等线" w:hAnsi="等线"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unhideWhenUsed="1" w:qFormat="1"/>
    <w:lsdException w:name="heading 3"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uiPriority="39" w:unhideWhenUsed="1" w:qFormat="1"/>
    <w:lsdException w:name="toc 3"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iPriority="0"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nhideWhenUsed="1"/>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widowControl w:val="0"/>
      <w:jc w:val="both"/>
    </w:pPr>
    <w:rPr>
      <w:kern w:val="2"/>
      <w:sz w:val="21"/>
      <w:szCs w:val="24"/>
    </w:rPr>
  </w:style>
  <w:style w:type="paragraph" w:styleId="Heading2">
    <w:name w:val="heading 2"/>
    <w:basedOn w:val="Normal"/>
    <w:next w:val="Normal"/>
    <w:link w:val="2"/>
    <w:unhideWhenUsed/>
    <w:qFormat/>
    <w:pPr>
      <w:keepNext/>
      <w:keepLines/>
      <w:spacing w:line="400" w:lineRule="exact"/>
      <w:jc w:val="left"/>
      <w:outlineLvl w:val="1"/>
    </w:pPr>
    <w:rPr>
      <w:rFonts w:ascii="Arial" w:eastAsia="宋体" w:hAnsi="Arial"/>
      <w:b/>
    </w:rPr>
  </w:style>
  <w:style w:type="paragraph" w:styleId="Heading3">
    <w:name w:val="heading 3"/>
    <w:basedOn w:val="Normal"/>
    <w:next w:val="Normal"/>
    <w:link w:val="3"/>
    <w:unhideWhenUsed/>
    <w:qFormat/>
    <w:pPr>
      <w:keepNext/>
      <w:keepLines/>
      <w:spacing w:line="400" w:lineRule="exact"/>
      <w:jc w:val="left"/>
      <w:outlineLvl w:val="2"/>
    </w:pPr>
    <w:rPr>
      <w:rFonts w:ascii="Times New Roman" w:eastAsia="宋体" w:hAnsi="Times New Roman"/>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a1"/>
    <w:unhideWhenUsed/>
    <w:qFormat/>
    <w:pPr>
      <w:spacing w:after="120"/>
    </w:pPr>
    <w:rPr>
      <w:rFonts w:ascii="Times New Roman" w:eastAsia="方正仿宋简体" w:hAnsi="Times New Roman"/>
      <w:sz w:val="32"/>
      <w:szCs w:val="20"/>
    </w:rPr>
  </w:style>
  <w:style w:type="paragraph" w:styleId="TOC3">
    <w:name w:val="toc 3"/>
    <w:basedOn w:val="Normal"/>
    <w:next w:val="Normal"/>
    <w:uiPriority w:val="39"/>
    <w:unhideWhenUsed/>
    <w:qFormat/>
    <w:pPr>
      <w:ind w:left="840" w:leftChars="400"/>
    </w:pPr>
  </w:style>
  <w:style w:type="paragraph" w:styleId="BalloonText">
    <w:name w:val="Balloon Text"/>
    <w:basedOn w:val="Normal"/>
    <w:link w:val="a0"/>
    <w:uiPriority w:val="99"/>
    <w:unhideWhenUsed/>
    <w:qFormat/>
    <w:rPr>
      <w:sz w:val="18"/>
      <w:szCs w:val="18"/>
    </w:rPr>
  </w:style>
  <w:style w:type="paragraph" w:styleId="Footer">
    <w:name w:val="footer"/>
    <w:basedOn w:val="Normal"/>
    <w:link w:val="a2"/>
    <w:uiPriority w:val="99"/>
    <w:unhideWhenUsed/>
    <w:qFormat/>
    <w:pPr>
      <w:tabs>
        <w:tab w:val="center" w:pos="4153"/>
        <w:tab w:val="right" w:pos="8306"/>
      </w:tabs>
      <w:snapToGrid w:val="0"/>
      <w:jc w:val="left"/>
    </w:pPr>
    <w:rPr>
      <w:sz w:val="18"/>
      <w:szCs w:val="18"/>
    </w:rPr>
  </w:style>
  <w:style w:type="paragraph" w:styleId="Header">
    <w:name w:val="header"/>
    <w:basedOn w:val="Normal"/>
    <w:link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TOC2">
    <w:name w:val="toc 2"/>
    <w:basedOn w:val="Normal"/>
    <w:next w:val="Normal"/>
    <w:uiPriority w:val="39"/>
    <w:unhideWhenUsed/>
    <w:qFormat/>
    <w:pPr>
      <w:ind w:left="420" w:leftChars="200"/>
    </w:pPr>
  </w:style>
  <w:style w:type="paragraph" w:styleId="NormalWeb">
    <w:name w:val="Normal (Web)"/>
    <w:basedOn w:val="Normal"/>
    <w:unhideWhenUsed/>
    <w:qFormat/>
    <w:pPr>
      <w:widowControl/>
      <w:spacing w:before="100" w:beforeAutospacing="1" w:after="100" w:afterAutospacing="1"/>
    </w:pPr>
    <w:rPr>
      <w:rFonts w:ascii="宋体" w:eastAsia="宋体" w:hAnsi="宋体"/>
      <w:kern w:val="0"/>
      <w:sz w:val="24"/>
      <w:szCs w:val="20"/>
    </w:rPr>
  </w:style>
  <w:style w:type="table" w:styleId="TableGrid">
    <w:name w:val="Table Grid"/>
    <w:basedOn w:val="TableNormal"/>
    <w:unhideWhenUsed/>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
    <w:name w:val="页眉 字符"/>
    <w:basedOn w:val="DefaultParagraphFont"/>
    <w:link w:val="Header"/>
    <w:qFormat/>
    <w:rPr>
      <w:sz w:val="18"/>
    </w:rPr>
  </w:style>
  <w:style w:type="character" w:customStyle="1" w:styleId="3">
    <w:name w:val="标题 3 字符"/>
    <w:basedOn w:val="DefaultParagraphFont"/>
    <w:link w:val="Heading3"/>
    <w:qFormat/>
    <w:rPr>
      <w:rFonts w:ascii="Times New Roman" w:eastAsia="宋体" w:hAnsi="Times New Roman"/>
      <w:b/>
    </w:rPr>
  </w:style>
  <w:style w:type="character" w:customStyle="1" w:styleId="a0">
    <w:name w:val="批注框文本 字符"/>
    <w:basedOn w:val="DefaultParagraphFont"/>
    <w:link w:val="BalloonText"/>
    <w:uiPriority w:val="99"/>
    <w:semiHidden/>
    <w:qFormat/>
    <w:rPr>
      <w:kern w:val="2"/>
      <w:sz w:val="18"/>
      <w:szCs w:val="18"/>
    </w:rPr>
  </w:style>
  <w:style w:type="character" w:customStyle="1" w:styleId="a1">
    <w:name w:val="正文文本 字符"/>
    <w:basedOn w:val="DefaultParagraphFont"/>
    <w:link w:val="BodyText"/>
    <w:qFormat/>
    <w:rPr>
      <w:rFonts w:ascii="Times New Roman" w:eastAsia="方正仿宋简体" w:hAnsi="Times New Roman" w:cs="Times New Roman"/>
      <w:sz w:val="32"/>
      <w:szCs w:val="20"/>
    </w:rPr>
  </w:style>
  <w:style w:type="character" w:customStyle="1" w:styleId="2">
    <w:name w:val="标题 2 字符"/>
    <w:basedOn w:val="DefaultParagraphFont"/>
    <w:link w:val="Heading2"/>
    <w:qFormat/>
    <w:rPr>
      <w:rFonts w:ascii="Arial" w:eastAsia="宋体" w:hAnsi="Arial"/>
      <w:b/>
    </w:rPr>
  </w:style>
  <w:style w:type="character" w:customStyle="1" w:styleId="a2">
    <w:name w:val="页脚 字符"/>
    <w:basedOn w:val="DefaultParagraphFont"/>
    <w:link w:val="Footer"/>
    <w:uiPriority w:val="99"/>
    <w:qFormat/>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header" Target="header1.xml" /><Relationship Id="rId6" Type="http://schemas.openxmlformats.org/officeDocument/2006/relationships/theme" Target="theme/theme1.xml" /><Relationship Id="rId7" Type="http://schemas.openxmlformats.org/officeDocument/2006/relationships/styles" Target="styles.xml" /></Relationships>
</file>

<file path=word/_rels/header1.xml.rels><?xml version="1.0" encoding="utf-8" standalone="yes"?><Relationships xmlns="http://schemas.openxmlformats.org/package/2006/relationships"><Relationship Id="rId1" Type="http://schemas.openxmlformats.org/officeDocument/2006/relationships/image" Target="media/image1.jpeg" /></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7</Pages>
  <Words>419</Words>
  <Characters>2392</Characters>
  <Application>Microsoft Office Word</Application>
  <DocSecurity>0</DocSecurity>
  <Lines>19</Lines>
  <Paragraphs>5</Paragraphs>
  <ScaleCrop>false</ScaleCrop>
  <Company/>
  <LinksUpToDate>false</LinksUpToDate>
  <CharactersWithSpaces>2806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 c</dc:creator>
  <cp:lastModifiedBy>婷婷 刘</cp:lastModifiedBy>
  <cp:revision>31</cp:revision>
  <dcterms:created xsi:type="dcterms:W3CDTF">2023-04-14T06:44:00Z</dcterms:created>
  <dcterms:modified xsi:type="dcterms:W3CDTF">2026-07-27T03:05:00Z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48CAE58F88821DFB686F3364065ABE78_42</vt:lpwstr>
  </property>
  <property fmtid="{D5CDD505-2E9C-101B-9397-08002B2CF9AE}" pid="3" name="KSOProductBuildVer">
    <vt:lpwstr>2052-11.8.2.8411</vt:lpwstr>
  </property>
</Properties>
</file>