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杭银理财幸福99年添益2112期理财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杭银理财幸福99年添益2112期理财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TYG13M2112</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Z7002221000033</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2021年7月14日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中国人民银行公布的1年期定期存款利率+0.4%</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188,683,586.48</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100.42</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188,683,586.48</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183,923,736.23</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1.0258</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1.1657</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年添益2112期</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TYG13M2112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1.1657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136,764,603.03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年添益2112期B款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TYG13M2112B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1.1685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4,914,155.60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年添益2112期C款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TYG13M2112C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1.1656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47,004,827.85</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年添益2112期</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年添益2112期B款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年添益2112期C款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3.33</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年上半年债市整体走出震荡慢牛、曲线持续牛平、高等级信用同步修复行情，一季度以中短端利率下行打底，二季度长端接力补涨；全年主线由持续宽松流动性、内需弱修复、全域资产荒主导，6月末长端估值高位引发交易盘止盈，行情转入窄幅震荡。10年期国债年初收益率中枢1.82%，上半年累计下行约8BP，6月末收于1.74%，区间低点1.70%—1.71%。30年期超长国债年初收益率2.27%，上半年下行约5BP，6月末报2.22%，表现前弱后强、二季度集中补涨。以3年期AA+中短期票据为代表，上半年收益率整体下行24BP，走势与国债高度共振，6月末回落至1.73%,对应信用利差全年累计收窄12BP，一季度配置资金入场推动利差快速压缩，3月受短端资金收敛小幅走阔，二季度流动性宽松再度带动利差持续下行。</w:t>
        <w:cr/>
        <w:t xml:space="preserve">    2026年上半年A股是极致结构性行情，宽基指数收益差距巨大，科创、创业板、中小盘制造领涨，大盘价值蓝筹整体走弱；行业层面TMT、高端装备为绝对主线，消费、金融、地产持续承压。行情由AI产业超级景气、国内持续宽松流动性、宏观经济K型弱修复三大核心因素主导，存量资金抱团特征显著，6月末高位估值兑现引发短期震荡，全年行情核心矛盾集中于细分赛道景气度差异，无系统性全面牛市。上证指数仅上涨3.16%，创业板指上半年上涨35.58%，科创50上半年累计涨幅64.25%。</w:t>
        <w:cr/>
        <w:t xml:space="preserve">    2026上半年伦敦金呈现前高后低、冲高回落走势，上半年累计下跌7.2%，行情核心矛盾是美联储高利率维持预期与央行长期购金支撑的博弈。一季度地缘避险驱动金价走牛，二季度美国经济通胀韧性扭转降息预期，实际利率上行主导金价持续回调；央行持续购金提供底部缓冲，避免金价单边暴跌，全年波动率大幅抬升，短期定价锚仍紧盯美国通胀、就业数据与美联储政策表态。</w:t>
        <w:cr/>
        <w:t xml:space="preserve">    2026上半年中证转债指数收涨3.20%，走出结构性震荡行情；全市场平价中位数处于历史中低位，转股溢价率中位数维持近90%高分位，市场呈现高平价低溢价、低平价高溢价的哑铃分化特征。行情由A股科技成长主线、持续宽松流动性、存量供需偏紧三大逻辑共同驱动，指数弹性完全绑定正股景气度，低价债性品种估值透支、高价赛道券受强赎约束，上半年末估值高位、资金分歧加大，市场单边做多行情阶段性结束。</w:t>
        <w:cr/>
        <w:t xml:space="preserve">    本产品严格按照投资范围进行投资，净值保持稳定上涨态势。    </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市场，二季度公布的经济数据内需下滑严重，地产销售以价换量，经济亮点主要来自强劲的出口，债券作为内需的映射品种在基本面具备较强的支撑。资金面看，当前资金完全由央行控制，在退出隔夜回购工具后，央行对市场的精细化操作能力进一步加强，能在税期和月末进行削峰填谷，对资金价格的稳定性有一定帮助。当前市场可能依旧围绕期限利差进行交易，同时关注固收+产品对债市的扰动，超调会带来难得的波动交易机会。</w:t>
        <w:cr/>
        <w:t xml:space="preserve">    二季度权益市场极度分化，中美日韩K型上涨，AI硬件板块在美光等半导体巨头的超级财报和投资计划下大幅上涨，和内需相关的板块则被市场抛弃。7月将进入二季报预告阶段，市场对业绩确定性行业的投资依旧会维持相对较强状态，K型分化难言结束。存储在今年进入超级周期，从韩美半导体股票涨势看主要得益于盈利上修，估值并未大幅抬升，市场可能在高拥挤下发生盈利兑现，但主线难以撼动。相较而言，美股在经济就业偏强状态下，有一定扩散效应。继续围绕景气度进行投资是当下较为理智的选择。</w:t>
        <w:cr/>
        <w:t xml:space="preserve">    黄金已经跌穿年初点位，当前在4000美元磨底过程中。从基本面因素看，美国财政不可持续性依旧没有逆转，中短期看影响较大的两个因素是美国经济增长和通胀、两者均会抬高实际利率，提升黄金持有成本造成黄金下跌。通胀方面，油价已下跌回美伊站前水平，对黄金的影响已较为缓和；但在经济增长方面，得益与AI的超级资本开支，以及大型赛事的影响，PMI和就业之前一直维持非常强劲的状态，从7月1日公布的美国制造业PMI和ADP就业数据看，后续或有边际转弱的可能，当前位置先维持低位震荡判断，待美国经济情况转向明朗、金价走出趋势后再做趋势性操作。</w:t>
        <w:cr/>
        <w:t xml:space="preserve">    转债市场，小盘股在6月出现大幅杀跌情况，转债的百元平价溢价率由43%历史最高位回落至37%，估值压缩显著，转债均价回落到130元以内，在对权益市场维持偏多情况下、以及或有的资金再平衡可能性，转债是一个较好的参与品种，当前具备资金再平衡价值。</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9.11</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13.48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0.76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35.18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72.06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11.37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51.63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26超长特别国债02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14,806,070.09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25附息国债20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11,307,273.13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10,362,627.32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23江宁交通PPN004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10,353,606.03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23鄂文旅MTN004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10,273,447.53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22奉化投资MTN001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10,267,294.11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21九联投资PPN002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10,228,251.64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22镇江城建PPN006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10,223,125.89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24江宁经开MTN001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10,165,666.03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9,350,027.31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4.96</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183,923,736.23</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183,923,736.23</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杭银理财有限责任公司幸福99年添益开放式第2112期</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3301040160015309811-522112</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杭州银行股份有限公司</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