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杭银理财幸福99月添益2001期理财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杭银理财幸福99月添益2001期理财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TYG1M2001</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Z7002221000271</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2020年4月24日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中国人民银行公布的7天通知存款利率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767,232,103.96</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107.70</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767,232,103.96</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641,502,332.92</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1.1959</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1.1959</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月添益2001期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TYG1M2001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1.1959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1.1959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736,586,571.06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月添益2001期B款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TYG1M2001B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1.1958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1.1958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24,053,546.89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月添益2001期C款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TYG1M2001C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1.2021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1.2021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6,591,986.01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月添益2001期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月添益2001期B款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月添益2001期C款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3.27</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本产品主要直接或者间接投资于债券类资产，投资的债券资产流动性状况良好，正常情况下能够及时变现资产，筹集资金，满足本产品的投资者赎回需求或其他支付要求。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0.85</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74.83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18.95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78.29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25农发31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50,636,497.95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他行存款(P27M-000302)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35,669,082.01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22雨花经开MTN001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30,372,478.36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他行存款(JS09QU-000698)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29,220,782.85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他行存款(250606-000761)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22,117,041.68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他行存款(250606-000667)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22,113,982.42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他行存款(250606-000486)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22,088,270.01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24历下控股MTN002(项目收益)</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20,571,754.79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25工行二级资本债03BC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20,455,288.22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博时上证30年期国债交易型开放式指数证券投资基金</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20,382,599.60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59,002,513.16</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7.69</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798,968,914.54</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641,502,332.92</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108,616.11</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杭银理财有限责任公司幸福99月添益开放式第2001期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3301040160015309811-372001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