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杭银理财幸福99颐养天年1106天23006期理财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杭银理财幸福99颐养天年1106天23006期理财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TNG23006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Z7002223000330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2024年1月3日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2027年1月13日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3.50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9,624,901.60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100.45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9,624,901.60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9,558,301.00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1.0901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颐养天年23006期A款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TNG23006A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161,135.90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颐养天年23006期C款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TNG23006C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1.0901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9,463,765.70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颐养天年23006期A款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颐养天年23006期C款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3.62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非标准化债权等固定收益类资产。投资的债券资产流动性状况良好，在产品到期前可完成投资组合相关资产变现，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46.98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53.02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194,773.22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博时上证30年期国债ETF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150,763.66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24常山01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118,067.87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99,306.46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23汉投08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91,533.09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21新昌01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81,842.77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易方达创业板ETF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73,070.52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23温国01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63,868.32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南方中证1000ETF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61,469.58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23江阴城投PPN006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54,880.94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9,558,301.00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9,558,301.00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杭银理财幸福99颐养天年23006期理财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3301040160015309811-5923006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